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5C5F" w:rsidR="005A74C9" w:rsidP="005A74C9" w:rsidRDefault="00375237" w14:paraId="5527F8FE" w14:textId="659BB0A6">
      <w:pPr>
        <w:pStyle w:val="Title"/>
        <w:rPr>
          <w:lang w:val="fr-CA"/>
        </w:rPr>
      </w:pPr>
      <w:r w:rsidR="00375237">
        <w:rPr/>
        <w:t xml:space="preserve">Les </w:t>
      </w:r>
      <w:r w:rsidRPr="537362FB" w:rsidR="00443284">
        <w:rPr>
          <w:lang w:val="fr-CA"/>
        </w:rPr>
        <w:t>scoo</w:t>
      </w:r>
      <w:r w:rsidRPr="537362FB" w:rsidR="005A74C9">
        <w:rPr>
          <w:lang w:val="fr-CA"/>
        </w:rPr>
        <w:t>te</w:t>
      </w:r>
      <w:r w:rsidRPr="537362FB" w:rsidR="00375237">
        <w:rPr>
          <w:lang w:val="fr-CA"/>
        </w:rPr>
        <w:t>u</w:t>
      </w:r>
      <w:r w:rsidRPr="537362FB" w:rsidR="005A74C9">
        <w:rPr>
          <w:lang w:val="fr-CA"/>
        </w:rPr>
        <w:t xml:space="preserve">rs </w:t>
      </w:r>
      <w:r w:rsidRPr="537362FB" w:rsidR="00375237">
        <w:rPr>
          <w:lang w:val="fr-CA"/>
        </w:rPr>
        <w:t>électriques dans</w:t>
      </w:r>
      <w:r w:rsidRPr="537362FB" w:rsidR="649B7C97">
        <w:rPr>
          <w:lang w:val="fr-CA"/>
        </w:rPr>
        <w:t xml:space="preserve"> </w:t>
      </w:r>
      <w:r w:rsidRPr="537362FB" w:rsidR="00375237">
        <w:rPr>
          <w:lang w:val="fr-CA"/>
        </w:rPr>
        <w:t>les villes</w:t>
      </w:r>
      <w:r w:rsidRPr="537362FB" w:rsidR="569C23EF">
        <w:rPr>
          <w:lang w:val="fr-CA"/>
        </w:rPr>
        <w:t xml:space="preserve"> </w:t>
      </w:r>
      <w:r w:rsidRPr="537362FB" w:rsidR="00375237">
        <w:rPr>
          <w:lang w:val="fr-CA"/>
        </w:rPr>
        <w:t>canadiennes</w:t>
      </w:r>
      <w:r w:rsidRPr="537362FB" w:rsidR="0027684C">
        <w:rPr>
          <w:lang w:val="fr-CA"/>
        </w:rPr>
        <w:t> </w:t>
      </w:r>
      <w:r w:rsidRPr="537362FB" w:rsidR="005A74C9">
        <w:rPr>
          <w:lang w:val="fr-CA"/>
        </w:rPr>
        <w:t>:</w:t>
      </w:r>
      <w:r w:rsidRPr="537362FB" w:rsidR="005A74C9">
        <w:rPr>
          <w:lang w:val="fr-CA"/>
        </w:rPr>
        <w:t xml:space="preserve"> </w:t>
      </w:r>
      <w:r w:rsidRPr="537362FB" w:rsidR="00435C5F">
        <w:rPr>
          <w:lang w:val="fr-CA"/>
        </w:rPr>
        <w:t>u</w:t>
      </w:r>
      <w:r w:rsidRPr="537362FB" w:rsidR="00375237">
        <w:rPr>
          <w:lang w:val="fr-CA"/>
        </w:rPr>
        <w:t>n exposé de politique d</w:t>
      </w:r>
      <w:r w:rsidRPr="537362FB" w:rsidR="002B7EEB">
        <w:rPr>
          <w:lang w:val="fr-CA"/>
        </w:rPr>
        <w:t xml:space="preserve">e la  Fondation </w:t>
      </w:r>
      <w:r w:rsidRPr="537362FB" w:rsidR="00375237">
        <w:rPr>
          <w:lang w:val="fr-CA"/>
        </w:rPr>
        <w:t xml:space="preserve">INCA </w:t>
      </w:r>
    </w:p>
    <w:p w:rsidRPr="00435C5F" w:rsidR="005A74C9" w:rsidP="005A74C9" w:rsidRDefault="00435C5F" w14:paraId="7988185D" w14:textId="08EA8F08">
      <w:pPr>
        <w:pStyle w:val="Heading1"/>
        <w:rPr>
          <w:lang w:val="fr-CA"/>
        </w:rPr>
      </w:pPr>
      <w:r w:rsidRPr="00435C5F">
        <w:rPr>
          <w:rFonts w:ascii="Calibri" w:hAnsi="Calibri" w:cs="Calibri"/>
          <w:lang w:val="fr-CA"/>
        </w:rPr>
        <w:t>À</w:t>
      </w:r>
      <w:r w:rsidRPr="00435C5F">
        <w:rPr>
          <w:lang w:val="fr-CA"/>
        </w:rPr>
        <w:t xml:space="preserve"> propos de la Fondation INCA </w:t>
      </w:r>
    </w:p>
    <w:p w:rsidRPr="00435C5F" w:rsidR="005A74C9" w:rsidP="005A74C9" w:rsidRDefault="00375237" w14:paraId="751B9DCB" w14:textId="2D34474B">
      <w:pPr>
        <w:rPr>
          <w:rFonts w:ascii="Arial" w:hAnsi="Arial" w:cs="Arial"/>
          <w:lang w:val="fr-CA"/>
        </w:rPr>
      </w:pPr>
      <w:r w:rsidRPr="00435C5F">
        <w:rPr>
          <w:rFonts w:ascii="Arial" w:hAnsi="Arial" w:cs="Arial"/>
          <w:iCs/>
          <w:lang w:val="fr-CA"/>
        </w:rPr>
        <w:t xml:space="preserve">La Fondation INCA, qui a fêté son centenaire en </w:t>
      </w:r>
      <w:r w:rsidRPr="00435C5F" w:rsidR="005A74C9">
        <w:rPr>
          <w:rFonts w:ascii="Arial" w:hAnsi="Arial" w:cs="Arial"/>
          <w:iCs/>
          <w:lang w:val="fr-CA"/>
        </w:rPr>
        <w:t xml:space="preserve">2018, </w:t>
      </w:r>
      <w:r w:rsidRPr="00435C5F">
        <w:rPr>
          <w:rFonts w:ascii="Arial" w:hAnsi="Arial" w:cs="Arial"/>
          <w:iCs/>
          <w:lang w:val="fr-CA"/>
        </w:rPr>
        <w:t>est un organisme à but non lucratif qui vise à changer ce que cela veut dire que d’être aveugle aujourd’hui</w:t>
      </w:r>
      <w:r w:rsidRPr="00435C5F" w:rsidR="005A74C9">
        <w:rPr>
          <w:rFonts w:ascii="Arial" w:hAnsi="Arial" w:cs="Arial"/>
          <w:iCs/>
          <w:lang w:val="fr-CA"/>
        </w:rPr>
        <w:t xml:space="preserve">. </w:t>
      </w:r>
      <w:r w:rsidRPr="00435C5F">
        <w:rPr>
          <w:rFonts w:ascii="Arial" w:hAnsi="Arial" w:cs="Arial"/>
          <w:iCs/>
          <w:lang w:val="fr-CA"/>
        </w:rPr>
        <w:t xml:space="preserve">Nous offrons des programmes innovateurs et de rigoureuses initiatives de défense des droits qui </w:t>
      </w:r>
      <w:r w:rsidR="0027684C">
        <w:rPr>
          <w:rFonts w:ascii="Arial" w:hAnsi="Arial" w:cs="Arial"/>
          <w:iCs/>
          <w:lang w:val="fr-CA"/>
        </w:rPr>
        <w:t xml:space="preserve">permettent aux </w:t>
      </w:r>
      <w:r w:rsidRPr="00435C5F">
        <w:rPr>
          <w:rFonts w:ascii="Arial" w:hAnsi="Arial" w:cs="Arial"/>
          <w:iCs/>
          <w:lang w:val="fr-CA"/>
        </w:rPr>
        <w:t xml:space="preserve">personnes touchées par la cécité </w:t>
      </w:r>
      <w:r w:rsidR="0027684C">
        <w:rPr>
          <w:rFonts w:ascii="Arial" w:hAnsi="Arial" w:cs="Arial"/>
          <w:iCs/>
          <w:lang w:val="fr-CA"/>
        </w:rPr>
        <w:t xml:space="preserve">de </w:t>
      </w:r>
      <w:r w:rsidRPr="00435C5F">
        <w:rPr>
          <w:rFonts w:ascii="Arial" w:hAnsi="Arial" w:cs="Arial"/>
          <w:iCs/>
          <w:lang w:val="fr-CA"/>
        </w:rPr>
        <w:t>réaliser leurs rêves en éliminant les barrières pour favoriser l</w:t>
      </w:r>
      <w:r w:rsidR="0027684C">
        <w:rPr>
          <w:rFonts w:ascii="Arial" w:hAnsi="Arial" w:cs="Arial"/>
          <w:iCs/>
          <w:lang w:val="fr-CA"/>
        </w:rPr>
        <w:t>’</w:t>
      </w:r>
      <w:r w:rsidRPr="00435C5F">
        <w:rPr>
          <w:rFonts w:ascii="Arial" w:hAnsi="Arial" w:cs="Arial"/>
          <w:iCs/>
          <w:lang w:val="fr-CA"/>
        </w:rPr>
        <w:t>inclusion</w:t>
      </w:r>
      <w:r w:rsidRPr="00435C5F">
        <w:rPr>
          <w:rFonts w:ascii="Times New Roman" w:hAnsi="Times New Roman" w:eastAsia="Times New Roman" w:cs="Times New Roman"/>
          <w:szCs w:val="24"/>
          <w:lang w:val="fr-CA" w:eastAsia="en-CA"/>
        </w:rPr>
        <w:t>.</w:t>
      </w:r>
      <w:r w:rsidRPr="00435C5F" w:rsidR="001E0121">
        <w:rPr>
          <w:rFonts w:ascii="Times New Roman" w:hAnsi="Times New Roman" w:eastAsia="Times New Roman" w:cs="Times New Roman"/>
          <w:szCs w:val="24"/>
          <w:lang w:val="fr-CA" w:eastAsia="en-CA"/>
        </w:rPr>
        <w:t xml:space="preserve"> </w:t>
      </w:r>
      <w:r w:rsidRPr="00435C5F" w:rsidR="00435C5F">
        <w:rPr>
          <w:rFonts w:ascii="Arial" w:hAnsi="Arial" w:cs="Arial"/>
          <w:iCs/>
          <w:lang w:val="fr-CA"/>
        </w:rPr>
        <w:t xml:space="preserve">Maintenant </w:t>
      </w:r>
      <w:r w:rsidRPr="00435C5F" w:rsidR="001E0121">
        <w:rPr>
          <w:rFonts w:ascii="Arial" w:hAnsi="Arial" w:cs="Arial"/>
          <w:iCs/>
          <w:lang w:val="fr-CA"/>
        </w:rPr>
        <w:t xml:space="preserve">qu’INCA entre dans son deuxième siècle d’existence, nous serons </w:t>
      </w:r>
      <w:r w:rsidR="00435C5F">
        <w:rPr>
          <w:rFonts w:ascii="Arial" w:hAnsi="Arial" w:cs="Arial"/>
          <w:iCs/>
          <w:lang w:val="fr-CA"/>
        </w:rPr>
        <w:t xml:space="preserve">encore </w:t>
      </w:r>
      <w:r w:rsidRPr="00435C5F" w:rsidR="001E0121">
        <w:rPr>
          <w:rFonts w:ascii="Arial" w:hAnsi="Arial" w:cs="Arial"/>
          <w:iCs/>
          <w:lang w:val="fr-CA"/>
        </w:rPr>
        <w:t>plus audacieux</w:t>
      </w:r>
      <w:r w:rsidRPr="00435C5F" w:rsidR="00435C5F">
        <w:rPr>
          <w:rFonts w:ascii="Arial" w:hAnsi="Arial" w:cs="Arial"/>
          <w:iCs/>
          <w:lang w:val="fr-CA"/>
        </w:rPr>
        <w:t xml:space="preserve"> </w:t>
      </w:r>
      <w:r w:rsidR="0027684C">
        <w:rPr>
          <w:rFonts w:ascii="Arial" w:hAnsi="Arial" w:cs="Arial"/>
          <w:lang w:val="fr-CA"/>
        </w:rPr>
        <w:t>en nous attaquant</w:t>
      </w:r>
      <w:r w:rsidRPr="00435C5F" w:rsidR="00435C5F">
        <w:rPr>
          <w:rFonts w:ascii="Arial" w:hAnsi="Arial" w:cs="Arial"/>
          <w:lang w:val="fr-CA"/>
        </w:rPr>
        <w:t xml:space="preserve"> aux questions qui nous sont soumises</w:t>
      </w:r>
      <w:r w:rsidRPr="00435C5F" w:rsidR="005A74C9">
        <w:rPr>
          <w:rFonts w:ascii="Arial" w:hAnsi="Arial" w:cs="Arial"/>
          <w:lang w:val="fr-CA"/>
        </w:rPr>
        <w:t xml:space="preserve">. </w:t>
      </w:r>
    </w:p>
    <w:p w:rsidRPr="00435C5F" w:rsidR="005A74C9" w:rsidP="005A74C9" w:rsidRDefault="0027684C" w14:paraId="3F81783F" w14:textId="16201D5B">
      <w:pPr>
        <w:pStyle w:val="Heading1"/>
        <w:rPr>
          <w:lang w:val="fr-CA"/>
        </w:rPr>
      </w:pPr>
      <w:r>
        <w:rPr>
          <w:lang w:val="fr-CA"/>
        </w:rPr>
        <w:t>Scoo</w:t>
      </w:r>
      <w:r w:rsidRPr="00435C5F" w:rsidR="00435C5F">
        <w:rPr>
          <w:lang w:val="fr-CA"/>
        </w:rPr>
        <w:t xml:space="preserve">teurs électriques </w:t>
      </w:r>
    </w:p>
    <w:p w:rsidRPr="008A53F2" w:rsidR="005A74C9" w:rsidP="005A74C9" w:rsidRDefault="0027684C" w14:paraId="64EEDA55" w14:textId="71764AA8">
      <w:pPr>
        <w:rPr>
          <w:rFonts w:ascii="Arial" w:hAnsi="Arial" w:cs="Arial"/>
          <w:lang w:val="fr-CA"/>
        </w:rPr>
      </w:pPr>
      <w:r>
        <w:rPr>
          <w:rFonts w:ascii="Arial" w:hAnsi="Arial" w:cs="Arial"/>
          <w:lang w:val="fr-CA"/>
        </w:rPr>
        <w:t>Les scoo</w:t>
      </w:r>
      <w:r w:rsidRPr="008A53F2" w:rsidR="00435C5F">
        <w:rPr>
          <w:rFonts w:ascii="Arial" w:hAnsi="Arial" w:cs="Arial"/>
          <w:lang w:val="fr-CA"/>
        </w:rPr>
        <w:t xml:space="preserve">teurs électriques, ou engins de </w:t>
      </w:r>
      <w:r w:rsidRPr="008A53F2" w:rsidR="00435C5F">
        <w:rPr>
          <w:rFonts w:ascii="Arial" w:hAnsi="Arial" w:cs="Arial"/>
          <w:noProof/>
          <w:lang w:val="fr-CA"/>
        </w:rPr>
        <w:t>micromobilité</w:t>
      </w:r>
      <w:r w:rsidRPr="008A53F2" w:rsidR="00435C5F">
        <w:rPr>
          <w:rFonts w:ascii="Arial" w:hAnsi="Arial" w:cs="Arial"/>
          <w:lang w:val="fr-CA"/>
        </w:rPr>
        <w:t xml:space="preserve"> sont des véhicules électriques </w:t>
      </w:r>
      <w:r w:rsidRPr="008A53F2" w:rsidR="008A53F2">
        <w:rPr>
          <w:rFonts w:ascii="Arial" w:hAnsi="Arial" w:cs="Arial"/>
          <w:lang w:val="fr-CA"/>
        </w:rPr>
        <w:t>à deux roues pour un seul passage</w:t>
      </w:r>
      <w:r>
        <w:rPr>
          <w:rFonts w:ascii="Arial" w:hAnsi="Arial" w:cs="Arial"/>
          <w:lang w:val="fr-CA"/>
        </w:rPr>
        <w:t>r</w:t>
      </w:r>
      <w:r w:rsidRPr="008A53F2" w:rsidR="008A53F2">
        <w:rPr>
          <w:rFonts w:ascii="Arial" w:hAnsi="Arial" w:cs="Arial"/>
          <w:lang w:val="fr-CA"/>
        </w:rPr>
        <w:t xml:space="preserve"> qui offrent aux piétons un mode de mobilité </w:t>
      </w:r>
      <w:r w:rsidRPr="006D6B10" w:rsidR="008A53F2">
        <w:rPr>
          <w:rFonts w:ascii="Arial" w:hAnsi="Arial" w:cs="Arial"/>
          <w:lang w:val="fr-CA"/>
        </w:rPr>
        <w:t>alternatif.</w:t>
      </w:r>
      <w:r w:rsidRPr="008A53F2" w:rsidR="008A53F2">
        <w:rPr>
          <w:rFonts w:ascii="Arial" w:hAnsi="Arial" w:cs="Arial"/>
          <w:lang w:val="fr-CA"/>
        </w:rPr>
        <w:t xml:space="preserve"> Même s’ils sont novateurs et écologiques, ces dispositifs créeront de sérieux obstacles et dangers pour les piétons aveugles ou ayant une vision partielle. Toutefois, si les municipalités canadiennes adoptent et approuvent les sco</w:t>
      </w:r>
      <w:r w:rsidR="00443284">
        <w:rPr>
          <w:rFonts w:ascii="Arial" w:hAnsi="Arial" w:cs="Arial"/>
          <w:lang w:val="fr-CA"/>
        </w:rPr>
        <w:t>o</w:t>
      </w:r>
      <w:r w:rsidRPr="008A53F2" w:rsidR="008A53F2">
        <w:rPr>
          <w:rFonts w:ascii="Arial" w:hAnsi="Arial" w:cs="Arial"/>
          <w:lang w:val="fr-CA"/>
        </w:rPr>
        <w:t>ters électriques, qu</w:t>
      </w:r>
      <w:r>
        <w:rPr>
          <w:rFonts w:ascii="Arial" w:hAnsi="Arial" w:cs="Arial"/>
          <w:lang w:val="fr-CA"/>
        </w:rPr>
        <w:t>’</w:t>
      </w:r>
      <w:r w:rsidRPr="008A53F2" w:rsidR="008A53F2">
        <w:rPr>
          <w:rFonts w:ascii="Arial" w:hAnsi="Arial" w:cs="Arial"/>
          <w:lang w:val="fr-CA"/>
        </w:rPr>
        <w:t>ils soient privés ou en location, cela ne doit se faire qu</w:t>
      </w:r>
      <w:r>
        <w:rPr>
          <w:rFonts w:ascii="Arial" w:hAnsi="Arial" w:cs="Arial"/>
          <w:lang w:val="fr-CA"/>
        </w:rPr>
        <w:t>’</w:t>
      </w:r>
      <w:r w:rsidRPr="008A53F2" w:rsidR="008A53F2">
        <w:rPr>
          <w:rFonts w:ascii="Arial" w:hAnsi="Arial" w:cs="Arial"/>
          <w:lang w:val="fr-CA"/>
        </w:rPr>
        <w:t xml:space="preserve">après avoir consulté la communauté des personnes handicapées et en tenant compte de considérations strictes qui placent la sécurité des piétons vulnérables au premier plan. Il est de la plus haute importance </w:t>
      </w:r>
      <w:r w:rsidR="00443284">
        <w:rPr>
          <w:rFonts w:ascii="Arial" w:hAnsi="Arial" w:cs="Arial"/>
          <w:lang w:val="fr-CA"/>
        </w:rPr>
        <w:t>d</w:t>
      </w:r>
      <w:r>
        <w:rPr>
          <w:rFonts w:ascii="Arial" w:hAnsi="Arial" w:cs="Arial"/>
          <w:lang w:val="fr-CA"/>
        </w:rPr>
        <w:t>’</w:t>
      </w:r>
      <w:r w:rsidR="00443284">
        <w:rPr>
          <w:rFonts w:ascii="Arial" w:hAnsi="Arial" w:cs="Arial"/>
          <w:lang w:val="fr-CA"/>
        </w:rPr>
        <w:t>interdire la conduite des scoo</w:t>
      </w:r>
      <w:r w:rsidRPr="008A53F2" w:rsidR="008A53F2">
        <w:rPr>
          <w:rFonts w:ascii="Arial" w:hAnsi="Arial" w:cs="Arial"/>
          <w:lang w:val="fr-CA"/>
        </w:rPr>
        <w:t xml:space="preserve">ters électriques sur les trottoirs, leur stationnement aléatoire ou leur utilisation à une vitesse dangereuse. </w:t>
      </w:r>
    </w:p>
    <w:p w:rsidRPr="008A53F2" w:rsidR="005A74C9" w:rsidP="005A74C9" w:rsidRDefault="008A53F2" w14:paraId="3A3AD9BA" w14:textId="36C6C7B5">
      <w:pPr>
        <w:rPr>
          <w:rFonts w:ascii="Arial" w:hAnsi="Arial" w:cs="Arial"/>
          <w:lang w:val="fr-CA"/>
        </w:rPr>
      </w:pPr>
      <w:r w:rsidRPr="008A53F2">
        <w:rPr>
          <w:rFonts w:ascii="Arial" w:hAnsi="Arial" w:cs="Arial"/>
          <w:lang w:val="fr-CA"/>
        </w:rPr>
        <w:t>Ces appareils peuvent fonctionner sur des pistes à usage partagé et dans les centres urbains très fréquentés. Ils peuvent atteindre une vitesse de 32 kilomètres à l</w:t>
      </w:r>
      <w:r w:rsidR="0027684C">
        <w:rPr>
          <w:rFonts w:ascii="Arial" w:hAnsi="Arial" w:cs="Arial"/>
          <w:lang w:val="fr-CA"/>
        </w:rPr>
        <w:t>’</w:t>
      </w:r>
      <w:r w:rsidRPr="008A53F2">
        <w:rPr>
          <w:rFonts w:ascii="Arial" w:hAnsi="Arial" w:cs="Arial"/>
          <w:lang w:val="fr-CA"/>
        </w:rPr>
        <w:t>heure. Lorsqu</w:t>
      </w:r>
      <w:r w:rsidR="0027684C">
        <w:rPr>
          <w:rFonts w:ascii="Arial" w:hAnsi="Arial" w:cs="Arial"/>
          <w:lang w:val="fr-CA"/>
        </w:rPr>
        <w:t>’</w:t>
      </w:r>
      <w:r w:rsidRPr="008A53F2">
        <w:rPr>
          <w:rFonts w:ascii="Arial" w:hAnsi="Arial" w:cs="Arial"/>
          <w:lang w:val="fr-CA"/>
        </w:rPr>
        <w:t>un conducteur a</w:t>
      </w:r>
      <w:r w:rsidR="00443284">
        <w:rPr>
          <w:rFonts w:ascii="Arial" w:hAnsi="Arial" w:cs="Arial"/>
          <w:lang w:val="fr-CA"/>
        </w:rPr>
        <w:t xml:space="preserve"> </w:t>
      </w:r>
      <w:r w:rsidRPr="008A53F2">
        <w:rPr>
          <w:rFonts w:ascii="Arial" w:hAnsi="Arial" w:cs="Arial"/>
          <w:lang w:val="fr-CA"/>
        </w:rPr>
        <w:t>fini d’</w:t>
      </w:r>
      <w:r w:rsidR="00443284">
        <w:rPr>
          <w:rFonts w:ascii="Arial" w:hAnsi="Arial" w:cs="Arial"/>
          <w:lang w:val="fr-CA"/>
        </w:rPr>
        <w:t>utiliser le scooter électrique</w:t>
      </w:r>
      <w:r w:rsidRPr="008A53F2">
        <w:rPr>
          <w:rFonts w:ascii="Arial" w:hAnsi="Arial" w:cs="Arial"/>
          <w:lang w:val="fr-CA"/>
        </w:rPr>
        <w:t>, il le gare simplement pour l</w:t>
      </w:r>
      <w:r w:rsidR="00443284">
        <w:rPr>
          <w:rFonts w:ascii="Arial" w:hAnsi="Arial" w:cs="Arial"/>
          <w:lang w:val="fr-CA"/>
        </w:rPr>
        <w:t>e prochain utilisateur. Les scoo</w:t>
      </w:r>
      <w:r w:rsidRPr="008A53F2">
        <w:rPr>
          <w:rFonts w:ascii="Arial" w:hAnsi="Arial" w:cs="Arial"/>
          <w:lang w:val="fr-CA"/>
        </w:rPr>
        <w:t>ters électriques sont actuellement disponibles à Calgary, Edmonton et Ottawa, et des projets pilotes ont été conclus ou sont en cours à Halifax, Kelowna, Victoria, Richmond, Winnipeg, Vancouver et Windsor.</w:t>
      </w:r>
    </w:p>
    <w:p w:rsidRPr="005A74C9" w:rsidR="005A74C9" w:rsidP="005A74C9" w:rsidRDefault="008A53F2" w14:paraId="7EBF8F28" w14:textId="77B1FADA">
      <w:pPr>
        <w:rPr>
          <w:rFonts w:ascii="Arial" w:hAnsi="Arial" w:cs="Arial"/>
        </w:rPr>
      </w:pPr>
      <w:r w:rsidRPr="008A53F2">
        <w:rPr>
          <w:rFonts w:ascii="Arial" w:hAnsi="Arial" w:cs="Arial"/>
          <w:lang w:val="fr-CA"/>
        </w:rPr>
        <w:t>Si les scooters électriques sont un moyen de transport pratique, ils ne doivent pas prendre le pas sur la sécurité des piétons. Autoriser l</w:t>
      </w:r>
      <w:r w:rsidR="0027684C">
        <w:rPr>
          <w:rFonts w:ascii="Arial" w:hAnsi="Arial" w:cs="Arial"/>
          <w:lang w:val="fr-CA"/>
        </w:rPr>
        <w:t>’</w:t>
      </w:r>
      <w:r w:rsidRPr="008A53F2">
        <w:rPr>
          <w:rFonts w:ascii="Arial" w:hAnsi="Arial" w:cs="Arial"/>
          <w:lang w:val="fr-CA"/>
        </w:rPr>
        <w:t>accès des sco</w:t>
      </w:r>
      <w:r w:rsidR="00D22582">
        <w:rPr>
          <w:rFonts w:ascii="Arial" w:hAnsi="Arial" w:cs="Arial"/>
          <w:lang w:val="fr-CA"/>
        </w:rPr>
        <w:t>o</w:t>
      </w:r>
      <w:r w:rsidRPr="008A53F2">
        <w:rPr>
          <w:rFonts w:ascii="Arial" w:hAnsi="Arial" w:cs="Arial"/>
          <w:lang w:val="fr-CA"/>
        </w:rPr>
        <w:t xml:space="preserve">ters électriques </w:t>
      </w:r>
      <w:r w:rsidRPr="008A53F2">
        <w:rPr>
          <w:rFonts w:ascii="Arial" w:hAnsi="Arial" w:cs="Arial"/>
          <w:lang w:val="fr-CA"/>
        </w:rPr>
        <w:lastRenderedPageBreak/>
        <w:t>aux voies piétonnes marginalisera encore plus les usagers de la route vulnérables, dont les piétons aveugles</w:t>
      </w:r>
      <w:r w:rsidRPr="008A53F2">
        <w:rPr>
          <w:rFonts w:ascii="Arial" w:hAnsi="Arial" w:cs="Arial"/>
        </w:rPr>
        <w:t xml:space="preserve">. </w:t>
      </w:r>
    </w:p>
    <w:p w:rsidRPr="00443284" w:rsidR="005A74C9" w:rsidP="005A74C9" w:rsidRDefault="005A74C9" w14:paraId="15E3E287" w14:textId="7867294C">
      <w:pPr>
        <w:pStyle w:val="Heading1"/>
        <w:rPr>
          <w:lang w:val="fr-CA"/>
        </w:rPr>
      </w:pPr>
      <w:r w:rsidRPr="005A74C9">
        <w:t xml:space="preserve">Impact </w:t>
      </w:r>
      <w:r w:rsidR="008A53F2">
        <w:t xml:space="preserve">sur les </w:t>
      </w:r>
      <w:r w:rsidRPr="00443284" w:rsidR="008A53F2">
        <w:rPr>
          <w:lang w:val="fr-CA"/>
        </w:rPr>
        <w:t xml:space="preserve">usagers de la route vulnérables et les piétons </w:t>
      </w:r>
    </w:p>
    <w:p w:rsidRPr="00443284" w:rsidR="005A74C9" w:rsidP="005A74C9" w:rsidRDefault="008A53F2" w14:paraId="62760538" w14:textId="5E7E735B">
      <w:pPr>
        <w:rPr>
          <w:rFonts w:ascii="Arial" w:hAnsi="Arial" w:cs="Arial"/>
          <w:lang w:val="fr-CA"/>
        </w:rPr>
      </w:pPr>
      <w:r w:rsidRPr="00443284">
        <w:rPr>
          <w:rFonts w:ascii="Arial" w:hAnsi="Arial" w:cs="Arial"/>
          <w:lang w:val="fr-CA"/>
        </w:rPr>
        <w:t xml:space="preserve">La Fondation INCA est heureuse de constater que les </w:t>
      </w:r>
      <w:r w:rsidRPr="00456033" w:rsidR="00456033">
        <w:rPr>
          <w:rFonts w:ascii="Arial" w:hAnsi="Arial" w:cs="Arial"/>
          <w:lang w:val="fr-CA"/>
        </w:rPr>
        <w:t>provinces et territoires canadien</w:t>
      </w:r>
      <w:r w:rsidRPr="00456033">
        <w:rPr>
          <w:rFonts w:ascii="Arial" w:hAnsi="Arial" w:cs="Arial"/>
          <w:lang w:val="fr-CA"/>
        </w:rPr>
        <w:t>s</w:t>
      </w:r>
      <w:r w:rsidR="00456033">
        <w:rPr>
          <w:rFonts w:ascii="Arial" w:hAnsi="Arial" w:cs="Arial"/>
          <w:lang w:val="fr-CA"/>
        </w:rPr>
        <w:t xml:space="preserve"> sont ouvert</w:t>
      </w:r>
      <w:r w:rsidRPr="00443284">
        <w:rPr>
          <w:rFonts w:ascii="Arial" w:hAnsi="Arial" w:cs="Arial"/>
          <w:lang w:val="fr-CA"/>
        </w:rPr>
        <w:t xml:space="preserve">s aux approches novatrices qui ont le potentiel de réduire les gaz à effet de serre, de diminuer la congestion dans les rues des villes et de mieux utiliser les transports en commun par le biais du transport du premier/dernier kilomètre. </w:t>
      </w:r>
    </w:p>
    <w:p w:rsidRPr="00443284" w:rsidR="005A74C9" w:rsidP="005A74C9" w:rsidRDefault="00443284" w14:paraId="64B32DAD" w14:textId="6A39D7D9">
      <w:pPr>
        <w:rPr>
          <w:rFonts w:ascii="Arial" w:hAnsi="Arial" w:cs="Arial"/>
          <w:lang w:val="fr-CA"/>
        </w:rPr>
      </w:pPr>
      <w:r w:rsidRPr="00443284">
        <w:rPr>
          <w:rFonts w:ascii="Arial" w:hAnsi="Arial" w:cs="Arial"/>
          <w:lang w:val="fr-CA"/>
        </w:rPr>
        <w:t>Pour l</w:t>
      </w:r>
      <w:r w:rsidR="0027684C">
        <w:rPr>
          <w:rFonts w:ascii="Arial" w:hAnsi="Arial" w:cs="Arial"/>
          <w:lang w:val="fr-CA"/>
        </w:rPr>
        <w:t>’</w:t>
      </w:r>
      <w:r w:rsidRPr="00443284">
        <w:rPr>
          <w:rFonts w:ascii="Arial" w:hAnsi="Arial" w:cs="Arial"/>
          <w:lang w:val="fr-CA"/>
        </w:rPr>
        <w:t>instant, la Fondatio</w:t>
      </w:r>
      <w:r>
        <w:rPr>
          <w:rFonts w:ascii="Arial" w:hAnsi="Arial" w:cs="Arial"/>
          <w:lang w:val="fr-CA"/>
        </w:rPr>
        <w:t>n INCA ne croit pas que les scoo</w:t>
      </w:r>
      <w:r w:rsidRPr="00443284">
        <w:rPr>
          <w:rFonts w:ascii="Arial" w:hAnsi="Arial" w:cs="Arial"/>
          <w:lang w:val="fr-CA"/>
        </w:rPr>
        <w:t>ters électriques devraient être introduits dans les municipalités canadiennes en raison du facteur de risque élevé pour les piétons ayant une perte d</w:t>
      </w:r>
      <w:r>
        <w:rPr>
          <w:rFonts w:ascii="Arial" w:hAnsi="Arial" w:cs="Arial"/>
          <w:lang w:val="fr-CA"/>
        </w:rPr>
        <w:t>e vision. Cependant, si les scoo</w:t>
      </w:r>
      <w:r w:rsidRPr="00443284">
        <w:rPr>
          <w:rFonts w:ascii="Arial" w:hAnsi="Arial" w:cs="Arial"/>
          <w:lang w:val="fr-CA"/>
        </w:rPr>
        <w:t xml:space="preserve">ters électriques sont autorisés dans les villes canadiennes, des attentes doivent être en place pour promouvoir la sécurité des piétons et </w:t>
      </w:r>
      <w:r>
        <w:rPr>
          <w:rFonts w:ascii="Arial" w:hAnsi="Arial" w:cs="Arial"/>
          <w:lang w:val="fr-CA"/>
        </w:rPr>
        <w:t>des conducteurs de scoo</w:t>
      </w:r>
      <w:r w:rsidRPr="00443284">
        <w:rPr>
          <w:rFonts w:ascii="Arial" w:hAnsi="Arial" w:cs="Arial"/>
          <w:lang w:val="fr-CA"/>
        </w:rPr>
        <w:t>ters électriques.</w:t>
      </w:r>
    </w:p>
    <w:p w:rsidRPr="00443284" w:rsidR="005A74C9" w:rsidP="005A74C9" w:rsidRDefault="00443284" w14:paraId="48EC3B1C" w14:textId="60BB44EB">
      <w:pPr>
        <w:rPr>
          <w:rFonts w:ascii="Arial" w:hAnsi="Arial" w:cs="Arial"/>
          <w:lang w:val="fr-CA"/>
        </w:rPr>
      </w:pPr>
      <w:r>
        <w:rPr>
          <w:rFonts w:ascii="Arial" w:hAnsi="Arial" w:cs="Arial"/>
        </w:rPr>
        <w:t>L</w:t>
      </w:r>
      <w:r w:rsidRPr="00443284">
        <w:rPr>
          <w:rFonts w:ascii="Arial" w:hAnsi="Arial" w:cs="Arial"/>
        </w:rPr>
        <w:t xml:space="preserve">a </w:t>
      </w:r>
      <w:r w:rsidRPr="00443284">
        <w:rPr>
          <w:rFonts w:ascii="Arial" w:hAnsi="Arial" w:cs="Arial"/>
          <w:lang w:val="fr-CA"/>
        </w:rPr>
        <w:t>Fondation INCA est préoccupée par le manque d</w:t>
      </w:r>
      <w:r w:rsidR="0027684C">
        <w:rPr>
          <w:rFonts w:ascii="Arial" w:hAnsi="Arial" w:cs="Arial"/>
          <w:lang w:val="fr-CA"/>
        </w:rPr>
        <w:t>’</w:t>
      </w:r>
      <w:r w:rsidRPr="00443284">
        <w:rPr>
          <w:rFonts w:ascii="Arial" w:hAnsi="Arial" w:cs="Arial"/>
          <w:lang w:val="fr-CA"/>
        </w:rPr>
        <w:t>attentes en matière de stationnement ou de rangement des appareils lorsqu</w:t>
      </w:r>
      <w:r w:rsidR="0027684C">
        <w:rPr>
          <w:rFonts w:ascii="Arial" w:hAnsi="Arial" w:cs="Arial"/>
          <w:lang w:val="fr-CA"/>
        </w:rPr>
        <w:t>’</w:t>
      </w:r>
      <w:r w:rsidRPr="00443284">
        <w:rPr>
          <w:rFonts w:ascii="Arial" w:hAnsi="Arial" w:cs="Arial"/>
          <w:lang w:val="fr-CA"/>
        </w:rPr>
        <w:t>ils ne sont pas utilisés. Les zones de stationn</w:t>
      </w:r>
      <w:r w:rsidR="00456033">
        <w:rPr>
          <w:rFonts w:ascii="Arial" w:hAnsi="Arial" w:cs="Arial"/>
          <w:lang w:val="fr-CA"/>
        </w:rPr>
        <w:t>ement pour les scooters électr</w:t>
      </w:r>
      <w:r w:rsidRPr="00443284">
        <w:rPr>
          <w:rFonts w:ascii="Arial" w:hAnsi="Arial" w:cs="Arial"/>
          <w:lang w:val="fr-CA"/>
        </w:rPr>
        <w:t>iques ne sont pas désignées et ne permettent donc pas aux piétons de se déplacer sur une voie dégagée.</w:t>
      </w:r>
      <w:r w:rsidRPr="00443284" w:rsidR="005A74C9">
        <w:rPr>
          <w:rFonts w:ascii="Arial" w:hAnsi="Arial" w:cs="Arial"/>
          <w:lang w:val="fr-CA"/>
        </w:rPr>
        <w:t xml:space="preserve"> </w:t>
      </w:r>
    </w:p>
    <w:p w:rsidRPr="00D22582" w:rsidR="005A74C9" w:rsidP="005A74C9" w:rsidRDefault="00D22582" w14:paraId="29A48547" w14:textId="56C3E170">
      <w:pPr>
        <w:rPr>
          <w:rFonts w:ascii="Arial" w:hAnsi="Arial" w:cs="Arial"/>
          <w:lang w:val="fr-CA"/>
        </w:rPr>
      </w:pPr>
      <w:r w:rsidRPr="00D22582">
        <w:rPr>
          <w:rFonts w:ascii="Arial" w:hAnsi="Arial" w:cs="Arial"/>
          <w:lang w:val="fr-CA"/>
        </w:rPr>
        <w:t>La Fondation INCA recommande aux municipalités d’exiger que les conducteurs de scooters électriques ne stationnent le véhicule que dans des endroits désignés. Cette mesure est conforme à la pratique actuelle des vélos électriques et des initiatives de covoiturage. Les zones de stationnement doivent être conçues de manière à laisser une voie libre aux piétons, en laissant un minimum de 1,8 mètre d</w:t>
      </w:r>
      <w:r w:rsidR="0027684C">
        <w:rPr>
          <w:rFonts w:ascii="Arial" w:hAnsi="Arial" w:cs="Arial"/>
          <w:lang w:val="fr-CA"/>
        </w:rPr>
        <w:t>’</w:t>
      </w:r>
      <w:r w:rsidRPr="00D22582">
        <w:rPr>
          <w:rFonts w:ascii="Arial" w:hAnsi="Arial" w:cs="Arial"/>
          <w:lang w:val="fr-CA"/>
        </w:rPr>
        <w:t>espace libre autour de la zone de stationnement. Cette dernière doit également être bien signalée par des marquages tactiles et à fort contraste.</w:t>
      </w:r>
    </w:p>
    <w:p w:rsidRPr="00405AC4" w:rsidR="00405AC4" w:rsidP="005A74C9" w:rsidRDefault="00405AC4" w14:paraId="56DE8BC0" w14:textId="0C06AEFC">
      <w:pPr>
        <w:rPr>
          <w:rFonts w:ascii="Arial" w:hAnsi="Arial" w:cs="Arial"/>
          <w:lang w:val="fr-CA"/>
        </w:rPr>
      </w:pPr>
      <w:r w:rsidRPr="00405AC4">
        <w:rPr>
          <w:rFonts w:ascii="Arial" w:hAnsi="Arial" w:cs="Arial"/>
          <w:lang w:val="fr-CA"/>
        </w:rPr>
        <w:t>La Fondation INCA recommande également que les scooters électriques suivent une classification similaire à celle des bicyclettes, ce qui signifie qu</w:t>
      </w:r>
      <w:r w:rsidR="0027684C">
        <w:rPr>
          <w:rFonts w:ascii="Arial" w:hAnsi="Arial" w:cs="Arial"/>
          <w:lang w:val="fr-CA"/>
        </w:rPr>
        <w:t>’</w:t>
      </w:r>
      <w:r w:rsidRPr="00405AC4">
        <w:rPr>
          <w:rFonts w:ascii="Arial" w:hAnsi="Arial" w:cs="Arial"/>
          <w:lang w:val="fr-CA"/>
        </w:rPr>
        <w:t>ils ne doivent pas être autorisés à circuler sur les trottoirs de la ville. Les scooters électriques peuvent atteindre une vitesse de 32 kilomètres à l’heure; dans les villes où l</w:t>
      </w:r>
      <w:r w:rsidR="0027684C">
        <w:rPr>
          <w:rFonts w:ascii="Arial" w:hAnsi="Arial" w:cs="Arial"/>
          <w:lang w:val="fr-CA"/>
        </w:rPr>
        <w:t>’</w:t>
      </w:r>
      <w:r w:rsidRPr="00405AC4">
        <w:rPr>
          <w:rFonts w:ascii="Arial" w:hAnsi="Arial" w:cs="Arial"/>
          <w:lang w:val="fr-CA"/>
        </w:rPr>
        <w:t xml:space="preserve">espace sur les trottoirs est limité, cela représente un risque pour la sécurité de tous les piétons, ceux qui sont aveugles et </w:t>
      </w:r>
      <w:r w:rsidR="00456033">
        <w:rPr>
          <w:rFonts w:ascii="Arial" w:hAnsi="Arial" w:cs="Arial"/>
          <w:lang w:val="fr-CA"/>
        </w:rPr>
        <w:t>on</w:t>
      </w:r>
      <w:r w:rsidRPr="00405AC4">
        <w:rPr>
          <w:rFonts w:ascii="Arial" w:hAnsi="Arial" w:cs="Arial"/>
          <w:lang w:val="fr-CA"/>
        </w:rPr>
        <w:t>t</w:t>
      </w:r>
      <w:r w:rsidR="00456033">
        <w:rPr>
          <w:rFonts w:ascii="Arial" w:hAnsi="Arial" w:cs="Arial"/>
          <w:lang w:val="fr-CA"/>
        </w:rPr>
        <w:t xml:space="preserve"> </w:t>
      </w:r>
      <w:r w:rsidRPr="00405AC4">
        <w:rPr>
          <w:rFonts w:ascii="Arial" w:hAnsi="Arial" w:cs="Arial"/>
          <w:lang w:val="fr-CA"/>
        </w:rPr>
        <w:t>une vision partielle.</w:t>
      </w:r>
    </w:p>
    <w:p w:rsidRPr="00405AC4" w:rsidR="00405AC4" w:rsidP="00405AC4" w:rsidRDefault="00405AC4" w14:paraId="4680B3E0" w14:textId="774557A2">
      <w:pPr>
        <w:rPr>
          <w:rFonts w:ascii="Arial" w:hAnsi="Arial" w:cs="Arial"/>
          <w:lang w:val="fr-CA"/>
        </w:rPr>
      </w:pPr>
      <w:r w:rsidRPr="00405AC4">
        <w:rPr>
          <w:rFonts w:ascii="Arial" w:hAnsi="Arial" w:cs="Arial"/>
          <w:lang w:val="fr-CA"/>
        </w:rPr>
        <w:t>Les piétons ayant une perte de vision, y compris les propriétaires de chiens-guides ne peuvent pas être tenus de quitter un trottoir pour se rendre dans une rue ou sur un terrain accidenté afin d</w:t>
      </w:r>
      <w:r w:rsidR="0027684C">
        <w:rPr>
          <w:rFonts w:ascii="Arial" w:hAnsi="Arial" w:cs="Arial"/>
          <w:lang w:val="fr-CA"/>
        </w:rPr>
        <w:t>’</w:t>
      </w:r>
      <w:r w:rsidRPr="00405AC4">
        <w:rPr>
          <w:rFonts w:ascii="Arial" w:hAnsi="Arial" w:cs="Arial"/>
          <w:lang w:val="fr-CA"/>
        </w:rPr>
        <w:t xml:space="preserve">éviter une collision avec un scooter électrique ou de contourner un appareil abandonné garé au hasard sur un sentier public. </w:t>
      </w:r>
    </w:p>
    <w:p w:rsidRPr="00CE5911" w:rsidR="005A74C9" w:rsidP="00405AC4" w:rsidRDefault="00CE5911" w14:paraId="71CDE66F" w14:textId="1A91FB0E">
      <w:pPr>
        <w:rPr>
          <w:rFonts w:ascii="Arial" w:hAnsi="Arial" w:cs="Arial"/>
          <w:lang w:val="fr-CA"/>
        </w:rPr>
      </w:pPr>
      <w:r w:rsidRPr="00CE5911">
        <w:rPr>
          <w:rFonts w:ascii="Arial" w:hAnsi="Arial" w:cs="Arial"/>
          <w:lang w:val="fr-CA"/>
        </w:rPr>
        <w:t>Enfin, lorsqu</w:t>
      </w:r>
      <w:r w:rsidR="0027684C">
        <w:rPr>
          <w:rFonts w:ascii="Arial" w:hAnsi="Arial" w:cs="Arial"/>
          <w:lang w:val="fr-CA"/>
        </w:rPr>
        <w:t>’</w:t>
      </w:r>
      <w:r w:rsidRPr="00CE5911">
        <w:rPr>
          <w:rFonts w:ascii="Arial" w:hAnsi="Arial" w:cs="Arial"/>
          <w:lang w:val="fr-CA"/>
        </w:rPr>
        <w:t xml:space="preserve">on </w:t>
      </w:r>
      <w:r w:rsidR="0027684C">
        <w:rPr>
          <w:rFonts w:ascii="Arial" w:hAnsi="Arial" w:cs="Arial"/>
          <w:lang w:val="fr-CA"/>
        </w:rPr>
        <w:t>constate</w:t>
      </w:r>
      <w:r w:rsidRPr="00CE5911">
        <w:rPr>
          <w:rFonts w:ascii="Arial" w:hAnsi="Arial" w:cs="Arial"/>
          <w:lang w:val="fr-CA"/>
        </w:rPr>
        <w:t xml:space="preserve"> </w:t>
      </w:r>
      <w:r w:rsidRPr="00CE5911" w:rsidR="00405AC4">
        <w:rPr>
          <w:rFonts w:ascii="Arial" w:hAnsi="Arial" w:cs="Arial"/>
          <w:lang w:val="fr-CA"/>
        </w:rPr>
        <w:t>qu</w:t>
      </w:r>
      <w:r w:rsidRPr="00CE5911">
        <w:rPr>
          <w:rFonts w:ascii="Arial" w:hAnsi="Arial" w:cs="Arial"/>
          <w:lang w:val="fr-CA"/>
        </w:rPr>
        <w:t>e des scooters électr</w:t>
      </w:r>
      <w:r w:rsidRPr="00CE5911" w:rsidR="00405AC4">
        <w:rPr>
          <w:rFonts w:ascii="Arial" w:hAnsi="Arial" w:cs="Arial"/>
          <w:lang w:val="fr-CA"/>
        </w:rPr>
        <w:t xml:space="preserve">iques sont garés de manière inappropriée, il convient de faciliter le signalement aux opérateurs et/ou aux services municipaux de contrôle en utilisant un code de type QR ou une application mobile accessible. Les opérateurs et les conducteurs doivent déployer </w:t>
      </w:r>
      <w:r w:rsidRPr="00CE5911">
        <w:rPr>
          <w:rFonts w:ascii="Arial" w:hAnsi="Arial" w:cs="Arial"/>
          <w:lang w:val="fr-CA"/>
        </w:rPr>
        <w:t xml:space="preserve">ou conduire les </w:t>
      </w:r>
      <w:r w:rsidRPr="00CE5911">
        <w:rPr>
          <w:rFonts w:ascii="Arial" w:hAnsi="Arial" w:cs="Arial"/>
          <w:lang w:val="fr-CA"/>
        </w:rPr>
        <w:lastRenderedPageBreak/>
        <w:t>scooters électr</w:t>
      </w:r>
      <w:r w:rsidRPr="00CE5911" w:rsidR="00405AC4">
        <w:rPr>
          <w:rFonts w:ascii="Arial" w:hAnsi="Arial" w:cs="Arial"/>
          <w:lang w:val="fr-CA"/>
        </w:rPr>
        <w:t xml:space="preserve">iques de manière responsable. </w:t>
      </w:r>
      <w:r w:rsidRPr="00CE5911">
        <w:rPr>
          <w:rFonts w:ascii="Arial" w:hAnsi="Arial" w:cs="Arial"/>
          <w:lang w:val="fr-CA"/>
        </w:rPr>
        <w:t xml:space="preserve">Lorsque </w:t>
      </w:r>
      <w:r w:rsidRPr="00CE5911" w:rsidR="00405AC4">
        <w:rPr>
          <w:rFonts w:ascii="Arial" w:hAnsi="Arial" w:cs="Arial"/>
          <w:lang w:val="fr-CA"/>
        </w:rPr>
        <w:t>ce n</w:t>
      </w:r>
      <w:r w:rsidR="0027684C">
        <w:rPr>
          <w:rFonts w:ascii="Arial" w:hAnsi="Arial" w:cs="Arial"/>
          <w:lang w:val="fr-CA"/>
        </w:rPr>
        <w:t>’</w:t>
      </w:r>
      <w:r w:rsidRPr="00CE5911" w:rsidR="00405AC4">
        <w:rPr>
          <w:rFonts w:ascii="Arial" w:hAnsi="Arial" w:cs="Arial"/>
          <w:lang w:val="fr-CA"/>
        </w:rPr>
        <w:t xml:space="preserve">est pas le cas, des mesures de dissuasion ou des sanctions réglementaires fortes et efficaces doivent être appliquées. </w:t>
      </w:r>
    </w:p>
    <w:p w:rsidRPr="00CE5911" w:rsidR="005A74C9" w:rsidP="005A74C9" w:rsidRDefault="00443284" w14:paraId="030E32B4" w14:textId="677D938B">
      <w:pPr>
        <w:pStyle w:val="Heading1"/>
        <w:rPr>
          <w:lang w:val="fr-CA"/>
        </w:rPr>
      </w:pPr>
      <w:r w:rsidRPr="00CE5911">
        <w:rPr>
          <w:lang w:val="fr-CA"/>
        </w:rPr>
        <w:t>Recomma</w:t>
      </w:r>
      <w:r w:rsidRPr="00CE5911" w:rsidR="005A74C9">
        <w:rPr>
          <w:lang w:val="fr-CA"/>
        </w:rPr>
        <w:t xml:space="preserve">ndations </w:t>
      </w:r>
      <w:r w:rsidRPr="00CE5911">
        <w:rPr>
          <w:lang w:val="fr-CA"/>
        </w:rPr>
        <w:t xml:space="preserve">visant à réduire les risques pour les piétons ayant une perte de vision </w:t>
      </w:r>
    </w:p>
    <w:p w:rsidRPr="00CE5911" w:rsidR="00CE5911" w:rsidP="00CE5911" w:rsidRDefault="00CE5911" w14:paraId="27B6ED42" w14:textId="77777777">
      <w:pPr>
        <w:pStyle w:val="ListParagraph"/>
        <w:numPr>
          <w:ilvl w:val="0"/>
          <w:numId w:val="9"/>
        </w:numPr>
        <w:rPr>
          <w:rFonts w:ascii="Arial" w:hAnsi="Arial" w:cs="Arial"/>
          <w:lang w:val="fr-CA"/>
        </w:rPr>
      </w:pPr>
      <w:r w:rsidRPr="00CE5911">
        <w:rPr>
          <w:rFonts w:ascii="Arial" w:hAnsi="Arial" w:cs="Arial"/>
        </w:rPr>
        <w:t xml:space="preserve">Les scooters </w:t>
      </w:r>
      <w:r w:rsidRPr="00CE5911">
        <w:rPr>
          <w:rFonts w:ascii="Arial" w:hAnsi="Arial" w:cs="Arial"/>
          <w:lang w:val="fr-CA"/>
        </w:rPr>
        <w:t>électriques doivent être traités comme des bicyclettes et les opérateurs doivent suivre les mêmes règles de conduite que les cyclistes.</w:t>
      </w:r>
    </w:p>
    <w:p w:rsidRPr="00CE5911" w:rsidR="00CE5911" w:rsidP="00CE5911" w:rsidRDefault="00CE5911" w14:paraId="2FB8C44F" w14:textId="019FC29B">
      <w:pPr>
        <w:pStyle w:val="ListParagraph"/>
        <w:numPr>
          <w:ilvl w:val="0"/>
          <w:numId w:val="9"/>
        </w:numPr>
        <w:rPr>
          <w:rFonts w:ascii="Arial" w:hAnsi="Arial" w:cs="Arial"/>
          <w:lang w:val="fr-CA"/>
        </w:rPr>
      </w:pPr>
      <w:r w:rsidRPr="00CE5911">
        <w:rPr>
          <w:rFonts w:ascii="Arial" w:hAnsi="Arial" w:cs="Arial"/>
          <w:lang w:val="fr-CA"/>
        </w:rPr>
        <w:t>Les scooters électriques ne doivent être garés que dans des zones désignées, clairement signalées et où les cannes sont détectables.</w:t>
      </w:r>
    </w:p>
    <w:p w:rsidRPr="00CE5911" w:rsidR="00CE5911" w:rsidP="00CE5911" w:rsidRDefault="00CE5911" w14:paraId="5E4FE18A" w14:textId="0CA0137E">
      <w:pPr>
        <w:pStyle w:val="ListParagraph"/>
        <w:numPr>
          <w:ilvl w:val="0"/>
          <w:numId w:val="9"/>
        </w:numPr>
        <w:rPr>
          <w:rFonts w:ascii="Arial" w:hAnsi="Arial" w:cs="Arial"/>
          <w:lang w:val="fr-CA"/>
        </w:rPr>
      </w:pPr>
      <w:r w:rsidRPr="00CE5911">
        <w:rPr>
          <w:rFonts w:ascii="Arial" w:hAnsi="Arial" w:cs="Arial"/>
          <w:lang w:val="fr-CA"/>
        </w:rPr>
        <w:t xml:space="preserve">Les zones de stationnement désignées ne doivent pas entraver </w:t>
      </w:r>
      <w:r>
        <w:rPr>
          <w:rFonts w:ascii="Arial" w:hAnsi="Arial" w:cs="Arial"/>
          <w:lang w:val="fr-CA"/>
        </w:rPr>
        <w:t xml:space="preserve">une voie de </w:t>
      </w:r>
      <w:r w:rsidRPr="00CE5911">
        <w:rPr>
          <w:rFonts w:ascii="Arial" w:hAnsi="Arial" w:cs="Arial"/>
          <w:lang w:val="fr-CA"/>
        </w:rPr>
        <w:t>circulation et un espace d</w:t>
      </w:r>
      <w:r w:rsidR="0027684C">
        <w:rPr>
          <w:rFonts w:ascii="Arial" w:hAnsi="Arial" w:cs="Arial"/>
          <w:lang w:val="fr-CA"/>
        </w:rPr>
        <w:t>’</w:t>
      </w:r>
      <w:r w:rsidRPr="00CE5911">
        <w:rPr>
          <w:rFonts w:ascii="Arial" w:hAnsi="Arial" w:cs="Arial"/>
          <w:lang w:val="fr-CA"/>
        </w:rPr>
        <w:t xml:space="preserve">au moins 1,8 mètre doit être prévu autour de la zone de stationnement pour permettre aux piétons </w:t>
      </w:r>
      <w:r>
        <w:rPr>
          <w:rFonts w:ascii="Arial" w:hAnsi="Arial" w:cs="Arial"/>
          <w:lang w:val="fr-CA"/>
        </w:rPr>
        <w:t xml:space="preserve">ayant une perte de vision </w:t>
      </w:r>
      <w:r w:rsidRPr="00CE5911">
        <w:rPr>
          <w:rFonts w:ascii="Arial" w:hAnsi="Arial" w:cs="Arial"/>
          <w:lang w:val="fr-CA"/>
        </w:rPr>
        <w:t>de contourner ces zones désignées en toute sécurité.</w:t>
      </w:r>
    </w:p>
    <w:p w:rsidRPr="00CE5911" w:rsidR="00CE5911" w:rsidP="00CE5911" w:rsidRDefault="00CE5911" w14:paraId="398C58FA" w14:textId="401C9A5D">
      <w:pPr>
        <w:pStyle w:val="ListParagraph"/>
        <w:numPr>
          <w:ilvl w:val="0"/>
          <w:numId w:val="9"/>
        </w:numPr>
        <w:rPr>
          <w:rFonts w:ascii="Arial" w:hAnsi="Arial" w:cs="Arial"/>
          <w:lang w:val="fr-CA"/>
        </w:rPr>
      </w:pPr>
      <w:r w:rsidRPr="00CE5911">
        <w:rPr>
          <w:rFonts w:ascii="Arial" w:hAnsi="Arial" w:cs="Arial"/>
          <w:lang w:val="fr-CA"/>
        </w:rPr>
        <w:t xml:space="preserve">Les scooters électriques doivent comporter un code QR </w:t>
      </w:r>
      <w:r>
        <w:rPr>
          <w:rFonts w:ascii="Arial" w:hAnsi="Arial" w:cs="Arial"/>
          <w:noProof/>
          <w:lang w:val="fr-CA"/>
        </w:rPr>
        <w:t>numérisable</w:t>
      </w:r>
      <w:r>
        <w:rPr>
          <w:rFonts w:ascii="Arial" w:hAnsi="Arial" w:cs="Arial"/>
          <w:lang w:val="fr-CA"/>
        </w:rPr>
        <w:t xml:space="preserve"> bien en vue </w:t>
      </w:r>
      <w:r w:rsidRPr="00CE5911">
        <w:rPr>
          <w:rFonts w:ascii="Arial" w:hAnsi="Arial" w:cs="Arial"/>
          <w:lang w:val="fr-CA"/>
        </w:rPr>
        <w:t>sur l</w:t>
      </w:r>
      <w:r w:rsidR="0027684C">
        <w:rPr>
          <w:rFonts w:ascii="Arial" w:hAnsi="Arial" w:cs="Arial"/>
          <w:lang w:val="fr-CA"/>
        </w:rPr>
        <w:t>’</w:t>
      </w:r>
      <w:r w:rsidRPr="00CE5911">
        <w:rPr>
          <w:rFonts w:ascii="Arial" w:hAnsi="Arial" w:cs="Arial"/>
          <w:lang w:val="fr-CA"/>
        </w:rPr>
        <w:t>appareil et marqué par un lettrage tactile et à fort contraste. Si un usager vulnérable de la route rencontre un scooter</w:t>
      </w:r>
      <w:r>
        <w:rPr>
          <w:rFonts w:ascii="Arial" w:hAnsi="Arial" w:cs="Arial"/>
          <w:lang w:val="fr-CA"/>
        </w:rPr>
        <w:t xml:space="preserve"> électrique</w:t>
      </w:r>
      <w:r w:rsidRPr="00CE5911">
        <w:rPr>
          <w:rFonts w:ascii="Arial" w:hAnsi="Arial" w:cs="Arial"/>
          <w:lang w:val="fr-CA"/>
        </w:rPr>
        <w:t>, il peut signaler l</w:t>
      </w:r>
      <w:r w:rsidR="0027684C">
        <w:rPr>
          <w:rFonts w:ascii="Arial" w:hAnsi="Arial" w:cs="Arial"/>
          <w:lang w:val="fr-CA"/>
        </w:rPr>
        <w:t>’</w:t>
      </w:r>
      <w:r w:rsidRPr="00CE5911">
        <w:rPr>
          <w:rFonts w:ascii="Arial" w:hAnsi="Arial" w:cs="Arial"/>
          <w:lang w:val="fr-CA"/>
        </w:rPr>
        <w:t>emplacement du dispositif.</w:t>
      </w:r>
    </w:p>
    <w:p w:rsidRPr="00CE5911" w:rsidR="00CE5911" w:rsidP="00CE5911" w:rsidRDefault="00CE5911" w14:paraId="583E5399" w14:textId="4C195E73">
      <w:pPr>
        <w:pStyle w:val="ListParagraph"/>
        <w:numPr>
          <w:ilvl w:val="0"/>
          <w:numId w:val="9"/>
        </w:numPr>
        <w:rPr>
          <w:rFonts w:ascii="Arial" w:hAnsi="Arial" w:cs="Arial"/>
          <w:lang w:val="fr-CA"/>
        </w:rPr>
      </w:pPr>
      <w:r>
        <w:rPr>
          <w:rFonts w:ascii="Arial" w:hAnsi="Arial" w:cs="Arial"/>
          <w:lang w:val="fr-CA"/>
        </w:rPr>
        <w:t xml:space="preserve">Lorsque des signalements sont </w:t>
      </w:r>
      <w:r w:rsidR="002A16C4">
        <w:rPr>
          <w:rFonts w:ascii="Arial" w:hAnsi="Arial" w:cs="Arial"/>
          <w:lang w:val="fr-CA"/>
        </w:rPr>
        <w:t xml:space="preserve">dûment </w:t>
      </w:r>
      <w:r>
        <w:rPr>
          <w:rFonts w:ascii="Arial" w:hAnsi="Arial" w:cs="Arial"/>
          <w:lang w:val="fr-CA"/>
        </w:rPr>
        <w:t xml:space="preserve">communiqués </w:t>
      </w:r>
      <w:r w:rsidRPr="00CE5911">
        <w:rPr>
          <w:rFonts w:ascii="Arial" w:hAnsi="Arial" w:cs="Arial"/>
          <w:lang w:val="fr-CA"/>
        </w:rPr>
        <w:t xml:space="preserve">aux opérateurs de </w:t>
      </w:r>
      <w:r w:rsidR="002B7EEB">
        <w:rPr>
          <w:rFonts w:ascii="Arial" w:hAnsi="Arial" w:cs="Arial"/>
          <w:lang w:val="fr-CA"/>
        </w:rPr>
        <w:t xml:space="preserve">                micro</w:t>
      </w:r>
      <w:r w:rsidRPr="00CE5911">
        <w:rPr>
          <w:rFonts w:ascii="Arial" w:hAnsi="Arial" w:cs="Arial"/>
          <w:lang w:val="fr-CA"/>
        </w:rPr>
        <w:t xml:space="preserve">mobilité, les municipalités </w:t>
      </w:r>
      <w:r>
        <w:rPr>
          <w:rFonts w:ascii="Arial" w:hAnsi="Arial" w:cs="Arial"/>
          <w:lang w:val="fr-CA"/>
        </w:rPr>
        <w:t xml:space="preserve">devraient exiger que </w:t>
      </w:r>
      <w:r w:rsidRPr="00CE5911">
        <w:rPr>
          <w:rFonts w:ascii="Arial" w:hAnsi="Arial" w:cs="Arial"/>
          <w:lang w:val="fr-CA"/>
        </w:rPr>
        <w:t>des mesures soient prises rapidement pour retirer le scooter électrique et l</w:t>
      </w:r>
      <w:r w:rsidR="0027684C">
        <w:rPr>
          <w:rFonts w:ascii="Arial" w:hAnsi="Arial" w:cs="Arial"/>
          <w:lang w:val="fr-CA"/>
        </w:rPr>
        <w:t>’</w:t>
      </w:r>
      <w:r w:rsidRPr="00CE5911">
        <w:rPr>
          <w:rFonts w:ascii="Arial" w:hAnsi="Arial" w:cs="Arial"/>
          <w:lang w:val="fr-CA"/>
        </w:rPr>
        <w:t xml:space="preserve">amener à une place de </w:t>
      </w:r>
      <w:r>
        <w:rPr>
          <w:rFonts w:ascii="Arial" w:hAnsi="Arial" w:cs="Arial"/>
          <w:lang w:val="fr-CA"/>
        </w:rPr>
        <w:t xml:space="preserve">stationnement </w:t>
      </w:r>
      <w:r w:rsidRPr="00CE5911">
        <w:rPr>
          <w:rFonts w:ascii="Arial" w:hAnsi="Arial" w:cs="Arial"/>
          <w:lang w:val="fr-CA"/>
        </w:rPr>
        <w:t xml:space="preserve">désignée. </w:t>
      </w:r>
    </w:p>
    <w:p w:rsidRPr="00CE5911" w:rsidR="005A74C9" w:rsidP="00CE5911" w:rsidRDefault="00CE5911" w14:paraId="51EA96B4" w14:textId="0C2F0D6A">
      <w:pPr>
        <w:pStyle w:val="ListParagraph"/>
        <w:numPr>
          <w:ilvl w:val="0"/>
          <w:numId w:val="9"/>
        </w:numPr>
        <w:rPr>
          <w:rFonts w:ascii="Arial" w:hAnsi="Arial" w:cs="Arial"/>
          <w:lang w:val="fr-CA"/>
        </w:rPr>
      </w:pPr>
      <w:r w:rsidRPr="00CE5911">
        <w:rPr>
          <w:rFonts w:ascii="Arial" w:hAnsi="Arial" w:cs="Arial"/>
          <w:lang w:val="fr-CA"/>
        </w:rPr>
        <w:t>Les municipalités devraient mettre en place des mécanismes appropriés et/ou des sanctions administratives qui serviront à décourager les pratiques dangereuses telles que la vitesse excessive ou l</w:t>
      </w:r>
      <w:r w:rsidR="0027684C">
        <w:rPr>
          <w:rFonts w:ascii="Arial" w:hAnsi="Arial" w:cs="Arial"/>
          <w:lang w:val="fr-CA"/>
        </w:rPr>
        <w:t>’</w:t>
      </w:r>
      <w:r w:rsidRPr="00CE5911">
        <w:rPr>
          <w:rFonts w:ascii="Arial" w:hAnsi="Arial" w:cs="Arial"/>
          <w:lang w:val="fr-CA"/>
        </w:rPr>
        <w:t xml:space="preserve">abandon imprudent des scooters électriques. </w:t>
      </w:r>
    </w:p>
    <w:p w:rsidRPr="00CE5911" w:rsidR="005A74C9" w:rsidP="005A74C9" w:rsidRDefault="005A74C9" w14:paraId="513CAE88" w14:textId="77777777">
      <w:pPr>
        <w:rPr>
          <w:rFonts w:ascii="Arial" w:hAnsi="Arial" w:cs="Arial"/>
          <w:lang w:val="fr-CA"/>
        </w:rPr>
      </w:pPr>
    </w:p>
    <w:p w:rsidRPr="00CE5911" w:rsidR="00150E6A" w:rsidP="005A74C9" w:rsidRDefault="00150E6A" w14:paraId="1B8764BB" w14:textId="77777777">
      <w:pPr>
        <w:rPr>
          <w:rFonts w:ascii="Arial" w:hAnsi="Arial" w:cs="Arial"/>
          <w:lang w:val="fr-CA"/>
        </w:rPr>
      </w:pPr>
    </w:p>
    <w:sectPr w:rsidRPr="00CE5911" w:rsidR="00150E6A" w:rsidSect="00E62DC9">
      <w:headerReference w:type="default" r:id="rId11"/>
      <w:headerReference w:type="first" r:id="rId12"/>
      <w:footerReference w:type="first" r:id="rId13"/>
      <w:pgSz w:w="12240" w:h="15840" w:orient="portrait"/>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146E" w:rsidP="005D260D" w:rsidRDefault="0053146E" w14:paraId="271D8474" w14:textId="77777777">
      <w:pPr>
        <w:spacing w:after="0" w:line="240" w:lineRule="auto"/>
      </w:pPr>
      <w:r>
        <w:separator/>
      </w:r>
    </w:p>
  </w:endnote>
  <w:endnote w:type="continuationSeparator" w:id="0">
    <w:p w:rsidR="0053146E" w:rsidP="005D260D" w:rsidRDefault="0053146E" w14:paraId="6C65BA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A74C9" w:rsidR="005A74C9" w:rsidRDefault="005A74C9" w14:paraId="30B66D79" w14:textId="292B1103">
    <w:pPr>
      <w:pStyle w:val="Footer"/>
      <w:rPr>
        <w:rFonts w:ascii="Arial" w:hAnsi="Arial" w:cs="Arial"/>
        <w:sz w:val="20"/>
        <w:szCs w:val="18"/>
      </w:rPr>
    </w:pPr>
    <w:r w:rsidRPr="005A74C9">
      <w:rPr>
        <w:rFonts w:ascii="Arial" w:hAnsi="Arial" w:cs="Arial"/>
        <w:sz w:val="20"/>
        <w:szCs w:val="18"/>
      </w:rPr>
      <w:t>CNIB Foundation Public Policy Team –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146E" w:rsidP="005D260D" w:rsidRDefault="0053146E" w14:paraId="74C44DAB" w14:textId="77777777">
      <w:pPr>
        <w:spacing w:after="0" w:line="240" w:lineRule="auto"/>
      </w:pPr>
      <w:r>
        <w:separator/>
      </w:r>
    </w:p>
  </w:footnote>
  <w:footnote w:type="continuationSeparator" w:id="0">
    <w:p w:rsidR="0053146E" w:rsidP="005D260D" w:rsidRDefault="0053146E" w14:paraId="41FA756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86350B" w:rsidR="005D260D" w:rsidP="00E62DC9" w:rsidRDefault="0086350B" w14:paraId="305E8F3E" w14:textId="38F28556">
    <w:pPr>
      <w:pStyle w:val="Header"/>
      <w:ind w:left="-1170"/>
      <w:jc w:val="center"/>
    </w:pPr>
    <w:r w:rsidR="537362FB">
      <w:drawing>
        <wp:inline wp14:editId="798CFF0A" wp14:anchorId="66246B28">
          <wp:extent cx="7448552" cy="648970"/>
          <wp:effectExtent l="0" t="0" r="0" b="0"/>
          <wp:docPr id="47" name="Picture 47" title=""/>
          <wp:cNvGraphicFramePr>
            <a:graphicFrameLocks noChangeAspect="1"/>
          </wp:cNvGraphicFramePr>
          <a:graphic>
            <a:graphicData uri="http://schemas.openxmlformats.org/drawingml/2006/picture">
              <pic:pic>
                <pic:nvPicPr>
                  <pic:cNvPr id="0" name="Picture 47"/>
                  <pic:cNvPicPr/>
                </pic:nvPicPr>
                <pic:blipFill>
                  <a:blip r:embed="R2bc36edbf524405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448552" cy="6489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B28EE" w:rsidP="00E62DC9" w:rsidRDefault="0007756F" w14:paraId="367A3A85" w14:textId="5D337C34">
    <w:pPr>
      <w:pStyle w:val="Header"/>
      <w:ind w:left="-1170"/>
      <w:jc w:val="center"/>
    </w:pPr>
    <w:r w:rsidR="537362FB">
      <w:drawing>
        <wp:inline wp14:editId="1564CF40" wp14:anchorId="2AF322A5">
          <wp:extent cx="7434072" cy="1291694"/>
          <wp:effectExtent l="0" t="0" r="0" b="3810"/>
          <wp:docPr id="48" name="Picture 48" descr="CNIB Foundation logo&#10;Fondation INCA logo" title=""/>
          <wp:cNvGraphicFramePr>
            <a:graphicFrameLocks noChangeAspect="1"/>
          </wp:cNvGraphicFramePr>
          <a:graphic>
            <a:graphicData uri="http://schemas.openxmlformats.org/drawingml/2006/picture">
              <pic:pic>
                <pic:nvPicPr>
                  <pic:cNvPr id="0" name="Picture 48"/>
                  <pic:cNvPicPr/>
                </pic:nvPicPr>
                <pic:blipFill>
                  <a:blip r:embed="R04c827b973674f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8C31FB"/>
    <w:multiLevelType w:val="hybridMultilevel"/>
    <w:tmpl w:val="49AEF2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612420"/>
    <w:multiLevelType w:val="hybridMultilevel"/>
    <w:tmpl w:val="2E98F578"/>
    <w:lvl w:ilvl="0" w:tplc="10090001">
      <w:start w:val="1"/>
      <w:numFmt w:val="bullet"/>
      <w:lvlText w:val=""/>
      <w:lvlJc w:val="left"/>
      <w:pPr>
        <w:ind w:left="810" w:hanging="360"/>
      </w:pPr>
      <w:rPr>
        <w:rFonts w:hint="default" w:ascii="Symbol" w:hAnsi="Symbol"/>
      </w:rPr>
    </w:lvl>
    <w:lvl w:ilvl="1" w:tplc="10090003" w:tentative="1">
      <w:start w:val="1"/>
      <w:numFmt w:val="bullet"/>
      <w:lvlText w:val="o"/>
      <w:lvlJc w:val="left"/>
      <w:pPr>
        <w:ind w:left="1530" w:hanging="360"/>
      </w:pPr>
      <w:rPr>
        <w:rFonts w:hint="default" w:ascii="Courier New" w:hAnsi="Courier New" w:cs="Courier New"/>
      </w:rPr>
    </w:lvl>
    <w:lvl w:ilvl="2" w:tplc="10090005" w:tentative="1">
      <w:start w:val="1"/>
      <w:numFmt w:val="bullet"/>
      <w:lvlText w:val=""/>
      <w:lvlJc w:val="left"/>
      <w:pPr>
        <w:ind w:left="2250" w:hanging="360"/>
      </w:pPr>
      <w:rPr>
        <w:rFonts w:hint="default" w:ascii="Wingdings" w:hAnsi="Wingdings"/>
      </w:rPr>
    </w:lvl>
    <w:lvl w:ilvl="3" w:tplc="10090001" w:tentative="1">
      <w:start w:val="1"/>
      <w:numFmt w:val="bullet"/>
      <w:lvlText w:val=""/>
      <w:lvlJc w:val="left"/>
      <w:pPr>
        <w:ind w:left="2970" w:hanging="360"/>
      </w:pPr>
      <w:rPr>
        <w:rFonts w:hint="default" w:ascii="Symbol" w:hAnsi="Symbol"/>
      </w:rPr>
    </w:lvl>
    <w:lvl w:ilvl="4" w:tplc="10090003" w:tentative="1">
      <w:start w:val="1"/>
      <w:numFmt w:val="bullet"/>
      <w:lvlText w:val="o"/>
      <w:lvlJc w:val="left"/>
      <w:pPr>
        <w:ind w:left="3690" w:hanging="360"/>
      </w:pPr>
      <w:rPr>
        <w:rFonts w:hint="default" w:ascii="Courier New" w:hAnsi="Courier New" w:cs="Courier New"/>
      </w:rPr>
    </w:lvl>
    <w:lvl w:ilvl="5" w:tplc="10090005" w:tentative="1">
      <w:start w:val="1"/>
      <w:numFmt w:val="bullet"/>
      <w:lvlText w:val=""/>
      <w:lvlJc w:val="left"/>
      <w:pPr>
        <w:ind w:left="4410" w:hanging="360"/>
      </w:pPr>
      <w:rPr>
        <w:rFonts w:hint="default" w:ascii="Wingdings" w:hAnsi="Wingdings"/>
      </w:rPr>
    </w:lvl>
    <w:lvl w:ilvl="6" w:tplc="10090001" w:tentative="1">
      <w:start w:val="1"/>
      <w:numFmt w:val="bullet"/>
      <w:lvlText w:val=""/>
      <w:lvlJc w:val="left"/>
      <w:pPr>
        <w:ind w:left="5130" w:hanging="360"/>
      </w:pPr>
      <w:rPr>
        <w:rFonts w:hint="default" w:ascii="Symbol" w:hAnsi="Symbol"/>
      </w:rPr>
    </w:lvl>
    <w:lvl w:ilvl="7" w:tplc="10090003" w:tentative="1">
      <w:start w:val="1"/>
      <w:numFmt w:val="bullet"/>
      <w:lvlText w:val="o"/>
      <w:lvlJc w:val="left"/>
      <w:pPr>
        <w:ind w:left="5850" w:hanging="360"/>
      </w:pPr>
      <w:rPr>
        <w:rFonts w:hint="default" w:ascii="Courier New" w:hAnsi="Courier New" w:cs="Courier New"/>
      </w:rPr>
    </w:lvl>
    <w:lvl w:ilvl="8" w:tplc="10090005" w:tentative="1">
      <w:start w:val="1"/>
      <w:numFmt w:val="bullet"/>
      <w:lvlText w:val=""/>
      <w:lvlJc w:val="left"/>
      <w:pPr>
        <w:ind w:left="6570" w:hanging="360"/>
      </w:pPr>
      <w:rPr>
        <w:rFonts w:hint="default" w:ascii="Wingdings" w:hAnsi="Wingdings"/>
      </w:rPr>
    </w:lvl>
  </w:abstractNum>
  <w:abstractNum w:abstractNumId="3" w15:restartNumberingAfterBreak="0">
    <w:nsid w:val="29D336A7"/>
    <w:multiLevelType w:val="hybridMultilevel"/>
    <w:tmpl w:val="E2E4C1C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2A5C4390"/>
    <w:multiLevelType w:val="hybridMultilevel"/>
    <w:tmpl w:val="4FE802E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30387F00"/>
    <w:multiLevelType w:val="hybridMultilevel"/>
    <w:tmpl w:val="E9A4E56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44472D45"/>
    <w:multiLevelType w:val="hybridMultilevel"/>
    <w:tmpl w:val="FC1EA94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525E26AC"/>
    <w:multiLevelType w:val="hybridMultilevel"/>
    <w:tmpl w:val="9850C9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5E17CD"/>
    <w:multiLevelType w:val="hybridMultilevel"/>
    <w:tmpl w:val="B17C75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4"/>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60D"/>
    <w:rsid w:val="00010A00"/>
    <w:rsid w:val="000279A5"/>
    <w:rsid w:val="00036049"/>
    <w:rsid w:val="000528B8"/>
    <w:rsid w:val="00053010"/>
    <w:rsid w:val="000678E7"/>
    <w:rsid w:val="0007756F"/>
    <w:rsid w:val="000C0268"/>
    <w:rsid w:val="000D6AF4"/>
    <w:rsid w:val="000F7F6B"/>
    <w:rsid w:val="0011046F"/>
    <w:rsid w:val="00150E6A"/>
    <w:rsid w:val="00161FDE"/>
    <w:rsid w:val="001B1F99"/>
    <w:rsid w:val="001D408A"/>
    <w:rsid w:val="001E0121"/>
    <w:rsid w:val="0027684C"/>
    <w:rsid w:val="002800EC"/>
    <w:rsid w:val="00292A67"/>
    <w:rsid w:val="002A16C4"/>
    <w:rsid w:val="002B7EEB"/>
    <w:rsid w:val="002C1053"/>
    <w:rsid w:val="002E4A60"/>
    <w:rsid w:val="003329E7"/>
    <w:rsid w:val="003477DE"/>
    <w:rsid w:val="003672B8"/>
    <w:rsid w:val="00373F90"/>
    <w:rsid w:val="00375237"/>
    <w:rsid w:val="00382ED6"/>
    <w:rsid w:val="00405AC4"/>
    <w:rsid w:val="00426234"/>
    <w:rsid w:val="00435C5F"/>
    <w:rsid w:val="00437658"/>
    <w:rsid w:val="00443284"/>
    <w:rsid w:val="00456033"/>
    <w:rsid w:val="004B5C91"/>
    <w:rsid w:val="0053146E"/>
    <w:rsid w:val="00566B61"/>
    <w:rsid w:val="00586DE9"/>
    <w:rsid w:val="00596340"/>
    <w:rsid w:val="005A26B9"/>
    <w:rsid w:val="005A74C9"/>
    <w:rsid w:val="005D260D"/>
    <w:rsid w:val="005E662B"/>
    <w:rsid w:val="006049C1"/>
    <w:rsid w:val="006217AA"/>
    <w:rsid w:val="006C0254"/>
    <w:rsid w:val="006D6B10"/>
    <w:rsid w:val="007F5E70"/>
    <w:rsid w:val="0080561B"/>
    <w:rsid w:val="0086350B"/>
    <w:rsid w:val="00877683"/>
    <w:rsid w:val="008A53F2"/>
    <w:rsid w:val="00904511"/>
    <w:rsid w:val="0092139B"/>
    <w:rsid w:val="00957526"/>
    <w:rsid w:val="009831F9"/>
    <w:rsid w:val="009A6634"/>
    <w:rsid w:val="009B0F2D"/>
    <w:rsid w:val="00A45EB8"/>
    <w:rsid w:val="00AB28EE"/>
    <w:rsid w:val="00B15ADC"/>
    <w:rsid w:val="00B21E05"/>
    <w:rsid w:val="00B27254"/>
    <w:rsid w:val="00BB15F9"/>
    <w:rsid w:val="00C16A8A"/>
    <w:rsid w:val="00C26715"/>
    <w:rsid w:val="00C5656E"/>
    <w:rsid w:val="00C63B57"/>
    <w:rsid w:val="00CE5911"/>
    <w:rsid w:val="00D056E2"/>
    <w:rsid w:val="00D22582"/>
    <w:rsid w:val="00D678C8"/>
    <w:rsid w:val="00D913D7"/>
    <w:rsid w:val="00DB1C1C"/>
    <w:rsid w:val="00DC492A"/>
    <w:rsid w:val="00DD2518"/>
    <w:rsid w:val="00DF1271"/>
    <w:rsid w:val="00DF1738"/>
    <w:rsid w:val="00E46C18"/>
    <w:rsid w:val="00E62DC9"/>
    <w:rsid w:val="00EE25FF"/>
    <w:rsid w:val="00EF73C4"/>
    <w:rsid w:val="00F2554F"/>
    <w:rsid w:val="00F543EA"/>
    <w:rsid w:val="00F719E2"/>
    <w:rsid w:val="00FC3192"/>
    <w:rsid w:val="00FE2A0C"/>
    <w:rsid w:val="537362FB"/>
    <w:rsid w:val="569C23EF"/>
    <w:rsid w:val="649B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AF038"/>
  <w15:docId w15:val="{B26646AE-EE35-46CA-AA3D-CC626108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Verdana" w:hAnsi="Verdana"/>
      <w:sz w:val="24"/>
    </w:rPr>
  </w:style>
  <w:style w:type="paragraph" w:styleId="Heading1">
    <w:name w:val="heading 1"/>
    <w:basedOn w:val="Normal"/>
    <w:next w:val="Normal"/>
    <w:link w:val="Heading1Char"/>
    <w:uiPriority w:val="9"/>
    <w:qFormat/>
    <w:rsid w:val="000678E7"/>
    <w:pPr>
      <w:keepNext/>
      <w:keepLines/>
      <w:spacing w:before="240" w:after="0"/>
      <w:outlineLvl w:val="0"/>
    </w:pPr>
    <w:rPr>
      <w:rFonts w:ascii="Arial" w:hAnsi="Arial" w:eastAsiaTheme="majorEastAsia" w:cstheme="majorBidi"/>
      <w:b/>
      <w:sz w:val="32"/>
      <w:szCs w:val="32"/>
    </w:rPr>
  </w:style>
  <w:style w:type="paragraph" w:styleId="Heading2">
    <w:name w:val="heading 2"/>
    <w:basedOn w:val="Normal"/>
    <w:next w:val="Normal"/>
    <w:link w:val="Heading2Char"/>
    <w:unhideWhenUsed/>
    <w:qFormat/>
    <w:rsid w:val="000678E7"/>
    <w:pPr>
      <w:keepNext/>
      <w:keepLines/>
      <w:spacing w:before="40" w:after="0" w:line="259" w:lineRule="auto"/>
      <w:outlineLvl w:val="1"/>
    </w:pPr>
    <w:rPr>
      <w:rFonts w:ascii="Arial" w:hAnsi="Arial" w:eastAsiaTheme="majorEastAsia" w:cstheme="majorBidi"/>
      <w:b/>
      <w:sz w:val="28"/>
      <w:szCs w:val="26"/>
      <w:lang w:val="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260D"/>
    <w:rPr>
      <w:rFonts w:ascii="Verdana" w:hAnsi="Verdana"/>
      <w:sz w:val="24"/>
    </w:rPr>
  </w:style>
  <w:style w:type="paragraph" w:styleId="BasicParagraph" w:customStyle="1">
    <w:name w:val="[Basic Paragraph]"/>
    <w:basedOn w:val="Normal"/>
    <w:uiPriority w:val="99"/>
    <w:rsid w:val="005D260D"/>
    <w:pPr>
      <w:widowControl w:val="0"/>
      <w:autoSpaceDE w:val="0"/>
      <w:autoSpaceDN w:val="0"/>
      <w:adjustRightInd w:val="0"/>
      <w:spacing w:after="0" w:line="288" w:lineRule="auto"/>
      <w:textAlignment w:val="center"/>
    </w:pPr>
    <w:rPr>
      <w:rFonts w:ascii="MinionPro-Regular" w:hAnsi="MinionPro-Regular" w:eastAsia="MS Mincho" w:cs="MinionPro-Regular"/>
      <w:color w:val="000000"/>
      <w:szCs w:val="24"/>
    </w:rPr>
  </w:style>
  <w:style w:type="paragraph" w:styleId="ListParagraph">
    <w:name w:val="List Paragraph"/>
    <w:basedOn w:val="Normal"/>
    <w:uiPriority w:val="34"/>
    <w:qFormat/>
    <w:rsid w:val="00D913D7"/>
    <w:pPr>
      <w:ind w:left="720"/>
      <w:contextualSpacing/>
    </w:pPr>
  </w:style>
  <w:style w:type="character" w:styleId="Heading1Char" w:customStyle="1">
    <w:name w:val="Heading 1 Char"/>
    <w:basedOn w:val="DefaultParagraphFont"/>
    <w:link w:val="Heading1"/>
    <w:uiPriority w:val="9"/>
    <w:rsid w:val="000678E7"/>
    <w:rPr>
      <w:rFonts w:ascii="Arial" w:hAnsi="Arial" w:eastAsiaTheme="majorEastAsia" w:cstheme="majorBidi"/>
      <w:b/>
      <w:sz w:val="32"/>
      <w:szCs w:val="32"/>
    </w:rPr>
  </w:style>
  <w:style w:type="character" w:styleId="Heading2Char" w:customStyle="1">
    <w:name w:val="Heading 2 Char"/>
    <w:basedOn w:val="DefaultParagraphFont"/>
    <w:link w:val="Heading2"/>
    <w:rsid w:val="000678E7"/>
    <w:rPr>
      <w:rFonts w:ascii="Arial" w:hAnsi="Arial" w:eastAsiaTheme="majorEastAsia" w:cstheme="majorBidi"/>
      <w:b/>
      <w:sz w:val="28"/>
      <w:szCs w:val="26"/>
      <w:lang w:val="en-CA"/>
    </w:rPr>
  </w:style>
  <w:style w:type="table" w:styleId="TableGrid">
    <w:name w:val="Table Grid"/>
    <w:basedOn w:val="TableNormal"/>
    <w:uiPriority w:val="39"/>
    <w:rsid w:val="00C5656E"/>
    <w:pPr>
      <w:spacing w:after="0" w:line="240" w:lineRule="auto"/>
    </w:pPr>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C5656E"/>
    <w:pPr>
      <w:spacing w:line="259" w:lineRule="auto"/>
      <w:outlineLvl w:val="9"/>
    </w:pPr>
  </w:style>
  <w:style w:type="paragraph" w:styleId="TOC1">
    <w:name w:val="toc 1"/>
    <w:basedOn w:val="Normal"/>
    <w:next w:val="Normal"/>
    <w:autoRedefine/>
    <w:uiPriority w:val="39"/>
    <w:unhideWhenUsed/>
    <w:rsid w:val="00C5656E"/>
    <w:pPr>
      <w:spacing w:after="100" w:line="259" w:lineRule="auto"/>
    </w:pPr>
    <w:rPr>
      <w:rFonts w:asciiTheme="minorHAnsi" w:hAnsiTheme="minorHAnsi"/>
      <w:sz w:val="22"/>
      <w:lang w:val="en-CA"/>
    </w:rPr>
  </w:style>
  <w:style w:type="paragraph" w:styleId="TOC2">
    <w:name w:val="toc 2"/>
    <w:basedOn w:val="Normal"/>
    <w:next w:val="Normal"/>
    <w:autoRedefine/>
    <w:uiPriority w:val="39"/>
    <w:unhideWhenUsed/>
    <w:rsid w:val="00C5656E"/>
    <w:pPr>
      <w:spacing w:after="100" w:line="259" w:lineRule="auto"/>
      <w:ind w:left="220"/>
    </w:pPr>
    <w:rPr>
      <w:rFonts w:asciiTheme="minorHAnsi" w:hAnsiTheme="minorHAnsi"/>
      <w:sz w:val="22"/>
      <w:lang w:val="en-CA"/>
    </w:rPr>
  </w:style>
  <w:style w:type="character" w:styleId="Hyperlink">
    <w:name w:val="Hyperlink"/>
    <w:basedOn w:val="DefaultParagraphFont"/>
    <w:uiPriority w:val="99"/>
    <w:unhideWhenUsed/>
    <w:rsid w:val="00C5656E"/>
    <w:rPr>
      <w:color w:val="0000FF" w:themeColor="hyperlink"/>
      <w:u w:val="single"/>
    </w:rPr>
  </w:style>
  <w:style w:type="paragraph" w:styleId="Title">
    <w:name w:val="Title"/>
    <w:basedOn w:val="Normal"/>
    <w:next w:val="Normal"/>
    <w:link w:val="TitleChar"/>
    <w:uiPriority w:val="10"/>
    <w:qFormat/>
    <w:rsid w:val="000678E7"/>
    <w:pPr>
      <w:spacing w:after="0" w:line="240" w:lineRule="auto"/>
      <w:contextualSpacing/>
    </w:pPr>
    <w:rPr>
      <w:rFonts w:ascii="Arial" w:hAnsi="Arial" w:eastAsiaTheme="majorEastAsia" w:cstheme="majorBidi"/>
      <w:b/>
      <w:spacing w:val="-10"/>
      <w:kern w:val="28"/>
      <w:sz w:val="52"/>
      <w:szCs w:val="56"/>
    </w:rPr>
  </w:style>
  <w:style w:type="character" w:styleId="TitleChar" w:customStyle="1">
    <w:name w:val="Title Char"/>
    <w:basedOn w:val="DefaultParagraphFont"/>
    <w:link w:val="Title"/>
    <w:uiPriority w:val="10"/>
    <w:rsid w:val="000678E7"/>
    <w:rPr>
      <w:rFonts w:ascii="Arial" w:hAnsi="Arial" w:eastAsiaTheme="majorEastAsia" w:cstheme="majorBidi"/>
      <w:b/>
      <w:spacing w:val="-10"/>
      <w:kern w:val="28"/>
      <w:sz w:val="52"/>
      <w:szCs w:val="56"/>
    </w:rPr>
  </w:style>
  <w:style w:type="paragraph" w:styleId="BalloonText">
    <w:name w:val="Balloon Text"/>
    <w:basedOn w:val="Normal"/>
    <w:link w:val="BalloonTextChar"/>
    <w:uiPriority w:val="99"/>
    <w:semiHidden/>
    <w:unhideWhenUsed/>
    <w:rsid w:val="0037523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75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&#65279;<?xml version="1.0" encoding="utf-8"?><Relationships xmlns="http://schemas.openxmlformats.org/package/2006/relationships"><Relationship Type="http://schemas.openxmlformats.org/officeDocument/2006/relationships/image" Target="/media/image3.jpg" Id="R2bc36edbf5244055" /></Relationships>
</file>

<file path=word/_rels/header2.xml.rels>&#65279;<?xml version="1.0" encoding="utf-8"?><Relationships xmlns="http://schemas.openxmlformats.org/package/2006/relationships"><Relationship Type="http://schemas.openxmlformats.org/officeDocument/2006/relationships/image" Target="/media/image4.jpg" Id="R04c827b973674f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D2E1BF5BB3A74DAD00398902704CDC" ma:contentTypeVersion="13" ma:contentTypeDescription="Create a new document." ma:contentTypeScope="" ma:versionID="9964833a33c29f8f1b7f889816fc83ad">
  <xsd:schema xmlns:xsd="http://www.w3.org/2001/XMLSchema" xmlns:xs="http://www.w3.org/2001/XMLSchema" xmlns:p="http://schemas.microsoft.com/office/2006/metadata/properties" xmlns:ns2="8e1b5bee-ab4d-4e7d-bd82-72855f0bf25d" xmlns:ns3="c78b73b8-be8e-4584-b1f7-703647a8def1" targetNamespace="http://schemas.microsoft.com/office/2006/metadata/properties" ma:root="true" ma:fieldsID="18d3bc55ede1d5a4f6b636430d75f587" ns2:_="" ns3:_="">
    <xsd:import namespace="8e1b5bee-ab4d-4e7d-bd82-72855f0bf25d"/>
    <xsd:import namespace="c78b73b8-be8e-4584-b1f7-703647a8d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b5bee-ab4d-4e7d-bd82-72855f0bf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8b73b8-be8e-4584-b1f7-703647a8d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01461-6C4F-459E-8CDD-E975968E83A1}">
  <ds:schemaRefs>
    <ds:schemaRef ds:uri="http://schemas.openxmlformats.org/officeDocument/2006/bibliography"/>
  </ds:schemaRefs>
</ds:datastoreItem>
</file>

<file path=customXml/itemProps2.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3.xml><?xml version="1.0" encoding="utf-8"?>
<ds:datastoreItem xmlns:ds="http://schemas.openxmlformats.org/officeDocument/2006/customXml" ds:itemID="{F219E73B-9783-4911-8066-05DB8DD4A0B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c78b73b8-be8e-4584-b1f7-703647a8def1"/>
    <ds:schemaRef ds:uri="8e1b5bee-ab4d-4e7d-bd82-72855f0bf25d"/>
    <ds:schemaRef ds:uri="http://www.w3.org/XML/1998/namespace"/>
  </ds:schemaRefs>
</ds:datastoreItem>
</file>

<file path=customXml/itemProps4.xml><?xml version="1.0" encoding="utf-8"?>
<ds:datastoreItem xmlns:ds="http://schemas.openxmlformats.org/officeDocument/2006/customXml" ds:itemID="{CE13FE73-EBBA-480A-A9FE-5475D6B4EA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Cameron Spark</dc:creator>
  <keywords/>
  <dc:description/>
  <lastModifiedBy>Alice Clark</lastModifiedBy>
  <revision>3</revision>
  <dcterms:created xsi:type="dcterms:W3CDTF">2020-08-04T17:56:00.0000000Z</dcterms:created>
  <dcterms:modified xsi:type="dcterms:W3CDTF">2021-06-15T14:04:34.4367435Z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0x01010013D2E1BF5BB3A74DAD00398902704CDC</vt:lpwstr>
  </property>
</Properties>
</file>