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8693" w14:textId="32E673DC" w:rsidR="00B03FD3" w:rsidRPr="00675ED5" w:rsidRDefault="00675ED5" w:rsidP="00B03FD3">
      <w:pPr>
        <w:pStyle w:val="Heading1"/>
        <w:rPr>
          <w:rFonts w:ascii="Verdana" w:hAnsi="Verdana"/>
          <w:b/>
          <w:bCs/>
          <w:color w:val="auto"/>
          <w:sz w:val="42"/>
          <w:szCs w:val="42"/>
        </w:rPr>
      </w:pPr>
      <w:r>
        <w:rPr>
          <w:rFonts w:ascii="Verdana" w:hAnsi="Verdana"/>
          <w:b/>
          <w:bCs/>
          <w:color w:val="auto"/>
          <w:sz w:val="42"/>
          <w:szCs w:val="42"/>
        </w:rPr>
        <w:t xml:space="preserve">Accessibility of Insulin Pumps </w:t>
      </w:r>
    </w:p>
    <w:p w14:paraId="549297EF" w14:textId="249450A1" w:rsidR="003A4B7F" w:rsidRPr="00675ED5" w:rsidRDefault="00B03FD3" w:rsidP="00E62DC9">
      <w:pPr>
        <w:rPr>
          <w:rFonts w:cs="Arial"/>
          <w:b/>
          <w:bCs/>
          <w:sz w:val="32"/>
          <w:szCs w:val="32"/>
        </w:rPr>
      </w:pPr>
      <w:r w:rsidRPr="00675ED5">
        <w:rPr>
          <w:rFonts w:cs="Arial"/>
          <w:b/>
          <w:bCs/>
          <w:sz w:val="32"/>
          <w:szCs w:val="32"/>
        </w:rPr>
        <w:t>Briefing Note</w:t>
      </w:r>
      <w:r w:rsidR="003A4B7F" w:rsidRPr="00675ED5">
        <w:rPr>
          <w:rFonts w:cs="Arial"/>
          <w:b/>
          <w:bCs/>
          <w:sz w:val="32"/>
          <w:szCs w:val="32"/>
        </w:rPr>
        <w:t xml:space="preserve"> – </w:t>
      </w:r>
      <w:r w:rsidR="007758AD">
        <w:rPr>
          <w:rFonts w:cs="Arial"/>
          <w:b/>
          <w:bCs/>
          <w:sz w:val="32"/>
          <w:szCs w:val="32"/>
        </w:rPr>
        <w:t>June</w:t>
      </w:r>
      <w:r w:rsidR="00675ED5">
        <w:rPr>
          <w:rFonts w:cs="Arial"/>
          <w:b/>
          <w:bCs/>
          <w:sz w:val="32"/>
          <w:szCs w:val="32"/>
        </w:rPr>
        <w:t xml:space="preserve"> 2020 </w:t>
      </w:r>
    </w:p>
    <w:p w14:paraId="16DB8032" w14:textId="551CC3AF" w:rsidR="00B03FD3" w:rsidRDefault="00B03FD3" w:rsidP="00E62DC9">
      <w:pPr>
        <w:rPr>
          <w:rFonts w:ascii="Arial" w:hAnsi="Arial" w:cs="Arial"/>
          <w:b/>
          <w:bCs/>
          <w:sz w:val="32"/>
          <w:szCs w:val="32"/>
        </w:rPr>
      </w:pPr>
      <w:r w:rsidRPr="00634650">
        <w:rPr>
          <w:rFonts w:ascii="Arial" w:hAnsi="Arial" w:cs="Arial"/>
          <w:b/>
          <w:bCs/>
          <w:sz w:val="32"/>
          <w:szCs w:val="32"/>
        </w:rPr>
        <w:t xml:space="preserve">Issue </w:t>
      </w:r>
    </w:p>
    <w:p w14:paraId="552A95FA" w14:textId="08B20E2A" w:rsidR="00F24143" w:rsidRPr="00F06315" w:rsidRDefault="00264860" w:rsidP="00F24143">
      <w:pPr>
        <w:pStyle w:val="NoSpacing"/>
        <w:numPr>
          <w:ilvl w:val="0"/>
          <w:numId w:val="16"/>
        </w:numPr>
        <w:rPr>
          <w:rFonts w:ascii="Arial" w:hAnsi="Arial" w:cs="Arial"/>
          <w:sz w:val="28"/>
          <w:szCs w:val="28"/>
        </w:rPr>
      </w:pPr>
      <w:r>
        <w:rPr>
          <w:rFonts w:ascii="Arial" w:hAnsi="Arial" w:cs="Arial"/>
          <w:sz w:val="28"/>
          <w:szCs w:val="28"/>
        </w:rPr>
        <w:t>CNIB has received complaints</w:t>
      </w:r>
      <w:r w:rsidR="00F24143" w:rsidRPr="00F06315">
        <w:rPr>
          <w:rFonts w:ascii="Arial" w:hAnsi="Arial" w:cs="Arial"/>
          <w:sz w:val="28"/>
          <w:szCs w:val="28"/>
        </w:rPr>
        <w:t xml:space="preserve"> from Canadians living with diabetes and sight loss</w:t>
      </w:r>
      <w:r w:rsidR="003B54C4">
        <w:rPr>
          <w:rFonts w:ascii="Arial" w:hAnsi="Arial" w:cs="Arial"/>
          <w:sz w:val="28"/>
          <w:szCs w:val="28"/>
        </w:rPr>
        <w:t xml:space="preserve"> regarding the inaccessibility of insulin pumps. </w:t>
      </w:r>
      <w:r w:rsidR="00BB76D2">
        <w:rPr>
          <w:rFonts w:ascii="Arial" w:hAnsi="Arial" w:cs="Arial"/>
          <w:sz w:val="28"/>
          <w:szCs w:val="28"/>
        </w:rPr>
        <w:t>End users</w:t>
      </w:r>
      <w:r w:rsidR="00F24143" w:rsidRPr="00F06315">
        <w:rPr>
          <w:rFonts w:ascii="Arial" w:hAnsi="Arial" w:cs="Arial"/>
          <w:sz w:val="28"/>
          <w:szCs w:val="28"/>
        </w:rPr>
        <w:t xml:space="preserve"> </w:t>
      </w:r>
      <w:r w:rsidR="003B54C4">
        <w:rPr>
          <w:rFonts w:ascii="Arial" w:hAnsi="Arial" w:cs="Arial"/>
          <w:sz w:val="28"/>
          <w:szCs w:val="28"/>
        </w:rPr>
        <w:t>are unable to</w:t>
      </w:r>
      <w:r w:rsidR="00F24143" w:rsidRPr="00F06315">
        <w:rPr>
          <w:rFonts w:ascii="Arial" w:hAnsi="Arial" w:cs="Arial"/>
          <w:sz w:val="28"/>
          <w:szCs w:val="28"/>
        </w:rPr>
        <w:t xml:space="preserve"> independently or safely use their insulin pump because</w:t>
      </w:r>
      <w:r w:rsidR="00B620FB" w:rsidRPr="00F06315">
        <w:rPr>
          <w:rFonts w:ascii="Arial" w:hAnsi="Arial" w:cs="Arial"/>
          <w:sz w:val="28"/>
          <w:szCs w:val="28"/>
        </w:rPr>
        <w:t xml:space="preserve"> </w:t>
      </w:r>
      <w:r w:rsidR="00903AC5" w:rsidRPr="00F06315">
        <w:rPr>
          <w:rFonts w:ascii="Arial" w:hAnsi="Arial" w:cs="Arial"/>
          <w:sz w:val="28"/>
          <w:szCs w:val="28"/>
        </w:rPr>
        <w:t xml:space="preserve">the device </w:t>
      </w:r>
      <w:r>
        <w:rPr>
          <w:rFonts w:ascii="Arial" w:hAnsi="Arial" w:cs="Arial"/>
          <w:sz w:val="28"/>
          <w:szCs w:val="28"/>
        </w:rPr>
        <w:t>must be</w:t>
      </w:r>
      <w:r w:rsidR="00903AC5" w:rsidRPr="00F06315">
        <w:rPr>
          <w:rFonts w:ascii="Arial" w:hAnsi="Arial" w:cs="Arial"/>
          <w:sz w:val="28"/>
          <w:szCs w:val="28"/>
        </w:rPr>
        <w:t xml:space="preserve"> navigated</w:t>
      </w:r>
      <w:r w:rsidR="00BB76D2">
        <w:rPr>
          <w:rFonts w:ascii="Arial" w:hAnsi="Arial" w:cs="Arial"/>
          <w:sz w:val="28"/>
          <w:szCs w:val="28"/>
        </w:rPr>
        <w:t xml:space="preserve"> solely</w:t>
      </w:r>
      <w:r w:rsidR="00903AC5" w:rsidRPr="00F06315">
        <w:rPr>
          <w:rFonts w:ascii="Arial" w:hAnsi="Arial" w:cs="Arial"/>
          <w:sz w:val="28"/>
          <w:szCs w:val="28"/>
        </w:rPr>
        <w:t xml:space="preserve"> using visual features on a display screen</w:t>
      </w:r>
      <w:r w:rsidR="003B54C4">
        <w:rPr>
          <w:rFonts w:ascii="Arial" w:hAnsi="Arial" w:cs="Arial"/>
          <w:sz w:val="28"/>
          <w:szCs w:val="28"/>
        </w:rPr>
        <w:t xml:space="preserve">. </w:t>
      </w:r>
      <w:r w:rsidR="00F24143" w:rsidRPr="00F06315">
        <w:rPr>
          <w:rFonts w:ascii="Arial" w:hAnsi="Arial" w:cs="Arial"/>
          <w:sz w:val="28"/>
          <w:szCs w:val="28"/>
        </w:rPr>
        <w:t xml:space="preserve">This is unacceptable given that diabetic retinopathy is </w:t>
      </w:r>
      <w:r>
        <w:rPr>
          <w:rFonts w:ascii="Arial" w:hAnsi="Arial" w:cs="Arial"/>
          <w:sz w:val="28"/>
          <w:szCs w:val="28"/>
        </w:rPr>
        <w:t xml:space="preserve">the fourth </w:t>
      </w:r>
      <w:r w:rsidR="00F24143" w:rsidRPr="00F06315">
        <w:rPr>
          <w:rFonts w:ascii="Arial" w:hAnsi="Arial" w:cs="Arial"/>
          <w:sz w:val="28"/>
          <w:szCs w:val="28"/>
        </w:rPr>
        <w:t>leading cause of sight loss in Canada</w:t>
      </w:r>
      <w:r w:rsidR="007758AD">
        <w:rPr>
          <w:rFonts w:ascii="Arial" w:hAnsi="Arial" w:cs="Arial"/>
          <w:sz w:val="28"/>
          <w:szCs w:val="28"/>
        </w:rPr>
        <w:t xml:space="preserve"> and the leading cause of blindness in adults in the United States. </w:t>
      </w:r>
    </w:p>
    <w:p w14:paraId="58F3CF0B" w14:textId="77777777" w:rsidR="007758AD" w:rsidRDefault="00903AC5" w:rsidP="00F24143">
      <w:pPr>
        <w:pStyle w:val="NoSpacing"/>
        <w:numPr>
          <w:ilvl w:val="0"/>
          <w:numId w:val="16"/>
        </w:numPr>
        <w:rPr>
          <w:rFonts w:ascii="Arial" w:hAnsi="Arial" w:cs="Arial"/>
          <w:sz w:val="28"/>
          <w:szCs w:val="28"/>
        </w:rPr>
      </w:pPr>
      <w:r w:rsidRPr="00F06315">
        <w:rPr>
          <w:rFonts w:ascii="Arial" w:hAnsi="Arial" w:cs="Arial"/>
          <w:sz w:val="28"/>
          <w:szCs w:val="28"/>
        </w:rPr>
        <w:t>As far as we aware,</w:t>
      </w:r>
      <w:r w:rsidR="00F24143" w:rsidRPr="00F06315">
        <w:rPr>
          <w:rFonts w:ascii="Arial" w:hAnsi="Arial" w:cs="Arial"/>
          <w:sz w:val="28"/>
          <w:szCs w:val="28"/>
        </w:rPr>
        <w:t xml:space="preserve"> there are </w:t>
      </w:r>
      <w:r w:rsidR="00BB76D2">
        <w:rPr>
          <w:rFonts w:ascii="Arial" w:hAnsi="Arial" w:cs="Arial"/>
          <w:sz w:val="28"/>
          <w:szCs w:val="28"/>
        </w:rPr>
        <w:t xml:space="preserve">no </w:t>
      </w:r>
      <w:r w:rsidR="00F24143" w:rsidRPr="00F06315">
        <w:rPr>
          <w:rFonts w:ascii="Arial" w:hAnsi="Arial" w:cs="Arial"/>
          <w:sz w:val="28"/>
          <w:szCs w:val="28"/>
        </w:rPr>
        <w:t>accessible insulin pumps on the</w:t>
      </w:r>
      <w:r w:rsidR="0083088C">
        <w:rPr>
          <w:rFonts w:ascii="Arial" w:hAnsi="Arial" w:cs="Arial"/>
          <w:sz w:val="28"/>
          <w:szCs w:val="28"/>
        </w:rPr>
        <w:t xml:space="preserve"> Canadian</w:t>
      </w:r>
      <w:r w:rsidR="00F24143" w:rsidRPr="00F06315">
        <w:rPr>
          <w:rFonts w:ascii="Arial" w:hAnsi="Arial" w:cs="Arial"/>
          <w:sz w:val="28"/>
          <w:szCs w:val="28"/>
        </w:rPr>
        <w:t xml:space="preserve"> market currently. There are some that have </w:t>
      </w:r>
      <w:r w:rsidR="003B54C4">
        <w:rPr>
          <w:rFonts w:ascii="Arial" w:hAnsi="Arial" w:cs="Arial"/>
          <w:sz w:val="28"/>
          <w:szCs w:val="28"/>
        </w:rPr>
        <w:t>limited</w:t>
      </w:r>
      <w:r w:rsidR="00F24143" w:rsidRPr="00F06315">
        <w:rPr>
          <w:rFonts w:ascii="Arial" w:hAnsi="Arial" w:cs="Arial"/>
          <w:sz w:val="28"/>
          <w:szCs w:val="28"/>
        </w:rPr>
        <w:t xml:space="preserve"> </w:t>
      </w:r>
      <w:r w:rsidR="00BB76D2">
        <w:rPr>
          <w:rFonts w:ascii="Arial" w:hAnsi="Arial" w:cs="Arial"/>
          <w:sz w:val="28"/>
          <w:szCs w:val="28"/>
        </w:rPr>
        <w:t>audio features</w:t>
      </w:r>
      <w:r w:rsidR="003B54C4">
        <w:rPr>
          <w:rFonts w:ascii="Arial" w:hAnsi="Arial" w:cs="Arial"/>
          <w:sz w:val="28"/>
          <w:szCs w:val="28"/>
        </w:rPr>
        <w:t xml:space="preserve"> for certain device functions</w:t>
      </w:r>
      <w:r w:rsidR="00BB76D2">
        <w:rPr>
          <w:rFonts w:ascii="Arial" w:hAnsi="Arial" w:cs="Arial"/>
          <w:sz w:val="28"/>
          <w:szCs w:val="28"/>
        </w:rPr>
        <w:t xml:space="preserve"> (</w:t>
      </w:r>
      <w:proofErr w:type="spellStart"/>
      <w:r w:rsidR="00BB76D2">
        <w:rPr>
          <w:rFonts w:ascii="Arial" w:hAnsi="Arial" w:cs="Arial"/>
          <w:sz w:val="28"/>
          <w:szCs w:val="28"/>
        </w:rPr>
        <w:t>i.e</w:t>
      </w:r>
      <w:proofErr w:type="spellEnd"/>
      <w:r w:rsidR="00BB76D2">
        <w:rPr>
          <w:rFonts w:ascii="Arial" w:hAnsi="Arial" w:cs="Arial"/>
          <w:sz w:val="28"/>
          <w:szCs w:val="28"/>
        </w:rPr>
        <w:t xml:space="preserve"> a beep to let someone know the insulin dosage)</w:t>
      </w:r>
      <w:r w:rsidR="0083088C">
        <w:rPr>
          <w:rFonts w:ascii="Arial" w:hAnsi="Arial" w:cs="Arial"/>
          <w:sz w:val="28"/>
          <w:szCs w:val="28"/>
        </w:rPr>
        <w:t>,</w:t>
      </w:r>
      <w:r w:rsidRPr="00F06315">
        <w:rPr>
          <w:rFonts w:ascii="Arial" w:hAnsi="Arial" w:cs="Arial"/>
          <w:sz w:val="28"/>
          <w:szCs w:val="28"/>
        </w:rPr>
        <w:t xml:space="preserve"> but a person still cannot use all the features of the device</w:t>
      </w:r>
      <w:r w:rsidR="00BB76D2">
        <w:rPr>
          <w:rFonts w:ascii="Arial" w:hAnsi="Arial" w:cs="Arial"/>
          <w:sz w:val="28"/>
          <w:szCs w:val="28"/>
        </w:rPr>
        <w:t>, such as locking or unlocking it.</w:t>
      </w:r>
      <w:r w:rsidRPr="00F06315">
        <w:rPr>
          <w:rFonts w:ascii="Arial" w:hAnsi="Arial" w:cs="Arial"/>
          <w:sz w:val="28"/>
          <w:szCs w:val="28"/>
        </w:rPr>
        <w:t xml:space="preserve"> </w:t>
      </w:r>
    </w:p>
    <w:p w14:paraId="62A62978" w14:textId="35698038" w:rsidR="00903AC5" w:rsidRPr="00F06315" w:rsidRDefault="00264860" w:rsidP="00F24143">
      <w:pPr>
        <w:pStyle w:val="NoSpacing"/>
        <w:numPr>
          <w:ilvl w:val="0"/>
          <w:numId w:val="16"/>
        </w:numPr>
        <w:rPr>
          <w:rFonts w:ascii="Arial" w:hAnsi="Arial" w:cs="Arial"/>
          <w:sz w:val="28"/>
          <w:szCs w:val="28"/>
        </w:rPr>
      </w:pPr>
      <w:r>
        <w:rPr>
          <w:rFonts w:ascii="Arial" w:hAnsi="Arial" w:cs="Arial"/>
          <w:sz w:val="28"/>
          <w:szCs w:val="28"/>
        </w:rPr>
        <w:t xml:space="preserve">Insulin pump manufacturers have a responsibility to ensure that </w:t>
      </w:r>
      <w:r w:rsidR="00BB76D2">
        <w:rPr>
          <w:rFonts w:ascii="Arial" w:hAnsi="Arial" w:cs="Arial"/>
          <w:sz w:val="28"/>
          <w:szCs w:val="28"/>
        </w:rPr>
        <w:t>a</w:t>
      </w:r>
      <w:r>
        <w:rPr>
          <w:rFonts w:ascii="Arial" w:hAnsi="Arial" w:cs="Arial"/>
          <w:sz w:val="28"/>
          <w:szCs w:val="28"/>
        </w:rPr>
        <w:t xml:space="preserve"> significant segment of their end-user market can safely use their device. </w:t>
      </w:r>
      <w:r w:rsidR="007758AD">
        <w:rPr>
          <w:rFonts w:ascii="Arial" w:hAnsi="Arial" w:cs="Arial"/>
          <w:sz w:val="28"/>
          <w:szCs w:val="28"/>
        </w:rPr>
        <w:t>We have received community feedback that people with sight loss have been advised that they should not use certain pumps as it has been deemed not safe by the manufacturer. Instead of creating further barriers and restrictions</w:t>
      </w:r>
      <w:r w:rsidR="00AA7043">
        <w:rPr>
          <w:rFonts w:ascii="Arial" w:hAnsi="Arial" w:cs="Arial"/>
          <w:sz w:val="28"/>
          <w:szCs w:val="28"/>
        </w:rPr>
        <w:t xml:space="preserve"> based on unfounded fears</w:t>
      </w:r>
      <w:r w:rsidR="007758AD">
        <w:rPr>
          <w:rFonts w:ascii="Arial" w:hAnsi="Arial" w:cs="Arial"/>
          <w:sz w:val="28"/>
          <w:szCs w:val="28"/>
        </w:rPr>
        <w:t xml:space="preserve">, pump manufacturers should be designing pumps </w:t>
      </w:r>
      <w:r w:rsidR="00AA7043">
        <w:rPr>
          <w:rFonts w:ascii="Arial" w:hAnsi="Arial" w:cs="Arial"/>
          <w:sz w:val="28"/>
          <w:szCs w:val="28"/>
        </w:rPr>
        <w:t xml:space="preserve">using universal design features. We do not need a special pump that blind people can use, we need pumps that everyone can use. </w:t>
      </w:r>
    </w:p>
    <w:p w14:paraId="41C97910" w14:textId="60D40392" w:rsidR="00903AC5" w:rsidRPr="00F06315" w:rsidRDefault="00903AC5" w:rsidP="00F24143">
      <w:pPr>
        <w:pStyle w:val="NoSpacing"/>
        <w:numPr>
          <w:ilvl w:val="0"/>
          <w:numId w:val="16"/>
        </w:numPr>
        <w:rPr>
          <w:rFonts w:ascii="Arial" w:hAnsi="Arial" w:cs="Arial"/>
          <w:sz w:val="28"/>
          <w:szCs w:val="28"/>
        </w:rPr>
      </w:pPr>
      <w:r w:rsidRPr="00F06315">
        <w:rPr>
          <w:rFonts w:ascii="Arial" w:hAnsi="Arial" w:cs="Arial"/>
          <w:sz w:val="28"/>
          <w:szCs w:val="28"/>
        </w:rPr>
        <w:t xml:space="preserve">Insulin pump manufacturers have indicated that </w:t>
      </w:r>
      <w:r w:rsidR="00B620FB" w:rsidRPr="00F06315">
        <w:rPr>
          <w:rFonts w:ascii="Arial" w:hAnsi="Arial" w:cs="Arial"/>
          <w:sz w:val="28"/>
          <w:szCs w:val="28"/>
        </w:rPr>
        <w:t xml:space="preserve">there is too much red tape to retrofit existing </w:t>
      </w:r>
      <w:r w:rsidR="00BB76D2">
        <w:rPr>
          <w:rFonts w:ascii="Arial" w:hAnsi="Arial" w:cs="Arial"/>
          <w:sz w:val="28"/>
          <w:szCs w:val="28"/>
        </w:rPr>
        <w:t>insulin pumps</w:t>
      </w:r>
      <w:r w:rsidR="00B620FB" w:rsidRPr="00F06315">
        <w:rPr>
          <w:rFonts w:ascii="Arial" w:hAnsi="Arial" w:cs="Arial"/>
          <w:sz w:val="28"/>
          <w:szCs w:val="28"/>
        </w:rPr>
        <w:t xml:space="preserve"> </w:t>
      </w:r>
      <w:r w:rsidR="0083088C">
        <w:rPr>
          <w:rFonts w:ascii="Arial" w:hAnsi="Arial" w:cs="Arial"/>
          <w:sz w:val="28"/>
          <w:szCs w:val="28"/>
        </w:rPr>
        <w:t>with accessible</w:t>
      </w:r>
      <w:r w:rsidR="00BB76D2">
        <w:rPr>
          <w:rFonts w:ascii="Arial" w:hAnsi="Arial" w:cs="Arial"/>
          <w:sz w:val="28"/>
          <w:szCs w:val="28"/>
        </w:rPr>
        <w:t xml:space="preserve"> or audible</w:t>
      </w:r>
      <w:r w:rsidR="0083088C">
        <w:rPr>
          <w:rFonts w:ascii="Arial" w:hAnsi="Arial" w:cs="Arial"/>
          <w:sz w:val="28"/>
          <w:szCs w:val="28"/>
        </w:rPr>
        <w:t xml:space="preserve"> features </w:t>
      </w:r>
      <w:r w:rsidR="00B620FB" w:rsidRPr="00F06315">
        <w:rPr>
          <w:rFonts w:ascii="Arial" w:hAnsi="Arial" w:cs="Arial"/>
          <w:sz w:val="28"/>
          <w:szCs w:val="28"/>
        </w:rPr>
        <w:t xml:space="preserve">because </w:t>
      </w:r>
      <w:r w:rsidR="0083088C">
        <w:rPr>
          <w:rFonts w:ascii="Arial" w:hAnsi="Arial" w:cs="Arial"/>
          <w:sz w:val="28"/>
          <w:szCs w:val="28"/>
        </w:rPr>
        <w:t>it would be considered a new device by regulating authorities and they would need to restart the entire approval process for the device.</w:t>
      </w:r>
    </w:p>
    <w:p w14:paraId="08DADF72" w14:textId="77777777" w:rsidR="00F24143" w:rsidRPr="00B620FB" w:rsidRDefault="00F24143" w:rsidP="0083088C">
      <w:pPr>
        <w:pStyle w:val="NoSpacing"/>
        <w:ind w:left="720"/>
        <w:rPr>
          <w:rFonts w:ascii="Arial" w:hAnsi="Arial" w:cs="Arial"/>
          <w:sz w:val="28"/>
          <w:szCs w:val="28"/>
        </w:rPr>
      </w:pPr>
    </w:p>
    <w:p w14:paraId="1B25572A" w14:textId="68BD622C" w:rsidR="00953510" w:rsidRPr="00B620FB" w:rsidRDefault="003A4B7F" w:rsidP="00953510">
      <w:pPr>
        <w:rPr>
          <w:rFonts w:ascii="Arial" w:hAnsi="Arial" w:cs="Arial"/>
          <w:b/>
          <w:bCs/>
          <w:sz w:val="32"/>
          <w:szCs w:val="32"/>
        </w:rPr>
      </w:pPr>
      <w:r w:rsidRPr="00B620FB">
        <w:rPr>
          <w:rFonts w:ascii="Arial" w:hAnsi="Arial" w:cs="Arial"/>
          <w:b/>
          <w:bCs/>
          <w:sz w:val="32"/>
          <w:szCs w:val="32"/>
        </w:rPr>
        <w:t>Recommendations</w:t>
      </w:r>
    </w:p>
    <w:p w14:paraId="59460059" w14:textId="44699E21" w:rsidR="00B620FB" w:rsidRDefault="00F06315" w:rsidP="00B620FB">
      <w:pPr>
        <w:pStyle w:val="ListParagraph"/>
        <w:numPr>
          <w:ilvl w:val="0"/>
          <w:numId w:val="15"/>
        </w:numPr>
        <w:rPr>
          <w:rFonts w:ascii="Arial" w:hAnsi="Arial" w:cs="Arial"/>
          <w:b/>
          <w:bCs/>
          <w:sz w:val="28"/>
          <w:szCs w:val="28"/>
        </w:rPr>
      </w:pPr>
      <w:r>
        <w:rPr>
          <w:rFonts w:ascii="Arial" w:hAnsi="Arial" w:cs="Arial"/>
          <w:sz w:val="28"/>
          <w:szCs w:val="28"/>
        </w:rPr>
        <w:t xml:space="preserve">Health Canada and other regulating bodies for healthcare </w:t>
      </w:r>
      <w:r w:rsidR="00146A83">
        <w:rPr>
          <w:rFonts w:ascii="Arial" w:hAnsi="Arial" w:cs="Arial"/>
          <w:sz w:val="28"/>
          <w:szCs w:val="28"/>
        </w:rPr>
        <w:t>should only approve</w:t>
      </w:r>
      <w:r w:rsidR="0083088C">
        <w:rPr>
          <w:rFonts w:ascii="Arial" w:hAnsi="Arial" w:cs="Arial"/>
          <w:sz w:val="28"/>
          <w:szCs w:val="28"/>
        </w:rPr>
        <w:t xml:space="preserve"> future</w:t>
      </w:r>
      <w:r w:rsidR="00146A83">
        <w:rPr>
          <w:rFonts w:ascii="Arial" w:hAnsi="Arial" w:cs="Arial"/>
          <w:sz w:val="28"/>
          <w:szCs w:val="28"/>
        </w:rPr>
        <w:t xml:space="preserve"> healthcare devices that are accessible to</w:t>
      </w:r>
      <w:r w:rsidR="00E731C7">
        <w:rPr>
          <w:rFonts w:ascii="Arial" w:hAnsi="Arial" w:cs="Arial"/>
          <w:sz w:val="28"/>
          <w:szCs w:val="28"/>
        </w:rPr>
        <w:t xml:space="preserve"> all</w:t>
      </w:r>
      <w:r w:rsidR="00146A83">
        <w:rPr>
          <w:rFonts w:ascii="Arial" w:hAnsi="Arial" w:cs="Arial"/>
          <w:sz w:val="28"/>
          <w:szCs w:val="28"/>
        </w:rPr>
        <w:t xml:space="preserve"> end </w:t>
      </w:r>
      <w:r w:rsidR="00146A83">
        <w:rPr>
          <w:rFonts w:ascii="Arial" w:hAnsi="Arial" w:cs="Arial"/>
          <w:sz w:val="28"/>
          <w:szCs w:val="28"/>
        </w:rPr>
        <w:lastRenderedPageBreak/>
        <w:t xml:space="preserve">users. This respects the intentions of the Accessible Canada Act </w:t>
      </w:r>
      <w:r w:rsidR="0083088C">
        <w:rPr>
          <w:rFonts w:ascii="Arial" w:hAnsi="Arial" w:cs="Arial"/>
          <w:sz w:val="28"/>
          <w:szCs w:val="28"/>
        </w:rPr>
        <w:t xml:space="preserve">and Canadian Human Rights Act, </w:t>
      </w:r>
      <w:r w:rsidR="00146A83">
        <w:rPr>
          <w:rFonts w:ascii="Arial" w:hAnsi="Arial" w:cs="Arial"/>
          <w:sz w:val="28"/>
          <w:szCs w:val="28"/>
        </w:rPr>
        <w:t>a</w:t>
      </w:r>
      <w:r w:rsidR="0083088C">
        <w:rPr>
          <w:rFonts w:ascii="Arial" w:hAnsi="Arial" w:cs="Arial"/>
          <w:sz w:val="28"/>
          <w:szCs w:val="28"/>
        </w:rPr>
        <w:t>s well as</w:t>
      </w:r>
      <w:r w:rsidR="00146A83">
        <w:rPr>
          <w:rFonts w:ascii="Arial" w:hAnsi="Arial" w:cs="Arial"/>
          <w:sz w:val="28"/>
          <w:szCs w:val="28"/>
        </w:rPr>
        <w:t xml:space="preserve"> </w:t>
      </w:r>
      <w:proofErr w:type="spellStart"/>
      <w:r w:rsidR="00146A83">
        <w:rPr>
          <w:rFonts w:ascii="Arial" w:hAnsi="Arial" w:cs="Arial"/>
          <w:sz w:val="28"/>
          <w:szCs w:val="28"/>
        </w:rPr>
        <w:t>honour</w:t>
      </w:r>
      <w:r w:rsidR="00BB76D2">
        <w:rPr>
          <w:rFonts w:ascii="Arial" w:hAnsi="Arial" w:cs="Arial"/>
          <w:sz w:val="28"/>
          <w:szCs w:val="28"/>
        </w:rPr>
        <w:t>ing</w:t>
      </w:r>
      <w:proofErr w:type="spellEnd"/>
      <w:r w:rsidR="00146A83">
        <w:rPr>
          <w:rFonts w:ascii="Arial" w:hAnsi="Arial" w:cs="Arial"/>
          <w:sz w:val="28"/>
          <w:szCs w:val="28"/>
        </w:rPr>
        <w:t xml:space="preserve"> the Federal government's commitment to accessibility. </w:t>
      </w:r>
    </w:p>
    <w:p w14:paraId="778CFC2E" w14:textId="5537B79E" w:rsidR="003B54C4" w:rsidRPr="003B54C4" w:rsidRDefault="00146A83" w:rsidP="003B54C4">
      <w:pPr>
        <w:pStyle w:val="ListParagraph"/>
        <w:numPr>
          <w:ilvl w:val="0"/>
          <w:numId w:val="15"/>
        </w:numPr>
        <w:rPr>
          <w:rFonts w:ascii="Arial" w:hAnsi="Arial" w:cs="Arial"/>
          <w:b/>
          <w:bCs/>
          <w:sz w:val="28"/>
          <w:szCs w:val="28"/>
        </w:rPr>
      </w:pPr>
      <w:r>
        <w:rPr>
          <w:rFonts w:ascii="Arial" w:hAnsi="Arial" w:cs="Arial"/>
          <w:sz w:val="28"/>
          <w:szCs w:val="28"/>
        </w:rPr>
        <w:t>Assistive and healthcare device programs administered by provincial governments</w:t>
      </w:r>
      <w:r w:rsidR="00047F48">
        <w:rPr>
          <w:rFonts w:ascii="Arial" w:hAnsi="Arial" w:cs="Arial"/>
          <w:sz w:val="28"/>
          <w:szCs w:val="28"/>
        </w:rPr>
        <w:t xml:space="preserve"> should make device accessibility a pre-requisite for being included on the</w:t>
      </w:r>
      <w:r w:rsidR="00BB76D2">
        <w:rPr>
          <w:rFonts w:ascii="Arial" w:hAnsi="Arial" w:cs="Arial"/>
          <w:sz w:val="28"/>
          <w:szCs w:val="28"/>
        </w:rPr>
        <w:t>ir</w:t>
      </w:r>
      <w:r w:rsidR="00047F48">
        <w:rPr>
          <w:rFonts w:ascii="Arial" w:hAnsi="Arial" w:cs="Arial"/>
          <w:sz w:val="28"/>
          <w:szCs w:val="28"/>
        </w:rPr>
        <w:t xml:space="preserve"> program formular</w:t>
      </w:r>
      <w:r w:rsidR="00BB76D2">
        <w:rPr>
          <w:rFonts w:ascii="Arial" w:hAnsi="Arial" w:cs="Arial"/>
          <w:sz w:val="28"/>
          <w:szCs w:val="28"/>
        </w:rPr>
        <w:t xml:space="preserve">ies. </w:t>
      </w:r>
      <w:r>
        <w:rPr>
          <w:rFonts w:ascii="Arial" w:hAnsi="Arial" w:cs="Arial"/>
          <w:sz w:val="28"/>
          <w:szCs w:val="28"/>
        </w:rPr>
        <w:t xml:space="preserve"> </w:t>
      </w:r>
    </w:p>
    <w:p w14:paraId="68D9CAD6" w14:textId="63A32EEF" w:rsidR="00AA7043" w:rsidRPr="00AA7043" w:rsidRDefault="003B54C4" w:rsidP="00AA7043">
      <w:pPr>
        <w:pStyle w:val="ListParagraph"/>
        <w:numPr>
          <w:ilvl w:val="0"/>
          <w:numId w:val="15"/>
        </w:numPr>
        <w:rPr>
          <w:rFonts w:ascii="Arial" w:hAnsi="Arial" w:cs="Arial"/>
          <w:b/>
          <w:bCs/>
          <w:sz w:val="28"/>
          <w:szCs w:val="28"/>
        </w:rPr>
      </w:pPr>
      <w:r>
        <w:rPr>
          <w:rFonts w:ascii="Arial" w:hAnsi="Arial" w:cs="Arial"/>
          <w:sz w:val="28"/>
          <w:szCs w:val="28"/>
        </w:rPr>
        <w:t>An as</w:t>
      </w:r>
      <w:r w:rsidRPr="00B620FB">
        <w:rPr>
          <w:rFonts w:ascii="Arial" w:hAnsi="Arial" w:cs="Arial"/>
          <w:sz w:val="28"/>
          <w:szCs w:val="28"/>
        </w:rPr>
        <w:t xml:space="preserve"> interim solution</w:t>
      </w:r>
      <w:r>
        <w:rPr>
          <w:rFonts w:ascii="Arial" w:hAnsi="Arial" w:cs="Arial"/>
          <w:sz w:val="28"/>
          <w:szCs w:val="28"/>
        </w:rPr>
        <w:t xml:space="preserve">, </w:t>
      </w:r>
      <w:r w:rsidRPr="00B620FB">
        <w:rPr>
          <w:rFonts w:ascii="Arial" w:hAnsi="Arial" w:cs="Arial"/>
          <w:sz w:val="28"/>
          <w:szCs w:val="28"/>
        </w:rPr>
        <w:t xml:space="preserve">manufacturers </w:t>
      </w:r>
      <w:r>
        <w:rPr>
          <w:rFonts w:ascii="Arial" w:hAnsi="Arial" w:cs="Arial"/>
          <w:sz w:val="28"/>
          <w:szCs w:val="28"/>
        </w:rPr>
        <w:t xml:space="preserve">could </w:t>
      </w:r>
      <w:r w:rsidRPr="00B620FB">
        <w:rPr>
          <w:rFonts w:ascii="Arial" w:hAnsi="Arial" w:cs="Arial"/>
          <w:sz w:val="28"/>
          <w:szCs w:val="28"/>
        </w:rPr>
        <w:t xml:space="preserve">create an app that interacts with a person's pump and can be used through </w:t>
      </w:r>
      <w:r>
        <w:rPr>
          <w:rFonts w:ascii="Arial" w:hAnsi="Arial" w:cs="Arial"/>
          <w:sz w:val="28"/>
          <w:szCs w:val="28"/>
        </w:rPr>
        <w:t>the accessibility features of a smartphone</w:t>
      </w:r>
      <w:r>
        <w:rPr>
          <w:rFonts w:ascii="Arial" w:hAnsi="Arial" w:cs="Arial"/>
          <w:b/>
          <w:bCs/>
          <w:sz w:val="28"/>
          <w:szCs w:val="28"/>
        </w:rPr>
        <w:t xml:space="preserve">. </w:t>
      </w:r>
    </w:p>
    <w:p w14:paraId="468624CF" w14:textId="400E611D" w:rsidR="00146A83" w:rsidRPr="00B620FB" w:rsidRDefault="00AA7043" w:rsidP="00B620FB">
      <w:pPr>
        <w:pStyle w:val="ListParagraph"/>
        <w:numPr>
          <w:ilvl w:val="0"/>
          <w:numId w:val="15"/>
        </w:numPr>
        <w:rPr>
          <w:rFonts w:ascii="Arial" w:hAnsi="Arial" w:cs="Arial"/>
          <w:b/>
          <w:bCs/>
          <w:sz w:val="28"/>
          <w:szCs w:val="28"/>
        </w:rPr>
      </w:pPr>
      <w:r>
        <w:rPr>
          <w:rFonts w:ascii="Arial" w:hAnsi="Arial" w:cs="Arial"/>
          <w:sz w:val="28"/>
          <w:szCs w:val="28"/>
        </w:rPr>
        <w:t xml:space="preserve">As a longer-term solution, manufacturers need to ensure that any pumps that are put on the market in the future are fully accessible to people with sight loss. </w:t>
      </w:r>
      <w:r w:rsidR="003B54C4">
        <w:rPr>
          <w:rFonts w:ascii="Arial" w:hAnsi="Arial" w:cs="Arial"/>
          <w:sz w:val="28"/>
          <w:szCs w:val="28"/>
        </w:rPr>
        <w:t xml:space="preserve">CNIB </w:t>
      </w:r>
      <w:r w:rsidR="00BB76D2">
        <w:rPr>
          <w:rFonts w:ascii="Arial" w:hAnsi="Arial" w:cs="Arial"/>
          <w:sz w:val="28"/>
          <w:szCs w:val="28"/>
        </w:rPr>
        <w:t>would be happy to</w:t>
      </w:r>
      <w:r w:rsidR="003B54C4">
        <w:rPr>
          <w:rFonts w:ascii="Arial" w:hAnsi="Arial" w:cs="Arial"/>
          <w:sz w:val="28"/>
          <w:szCs w:val="28"/>
        </w:rPr>
        <w:t xml:space="preserve"> </w:t>
      </w:r>
      <w:r w:rsidR="00BB76D2">
        <w:rPr>
          <w:rFonts w:ascii="Arial" w:hAnsi="Arial" w:cs="Arial"/>
          <w:sz w:val="28"/>
          <w:szCs w:val="28"/>
        </w:rPr>
        <w:t>collaborate</w:t>
      </w:r>
      <w:r w:rsidR="003B54C4">
        <w:rPr>
          <w:rFonts w:ascii="Arial" w:hAnsi="Arial" w:cs="Arial"/>
          <w:sz w:val="28"/>
          <w:szCs w:val="28"/>
        </w:rPr>
        <w:t xml:space="preserve"> with manufacturers</w:t>
      </w:r>
      <w:r w:rsidR="00BB76D2">
        <w:rPr>
          <w:rFonts w:ascii="Arial" w:hAnsi="Arial" w:cs="Arial"/>
          <w:sz w:val="28"/>
          <w:szCs w:val="28"/>
        </w:rPr>
        <w:t xml:space="preserve"> and their development teams</w:t>
      </w:r>
      <w:r w:rsidR="003B54C4">
        <w:rPr>
          <w:rFonts w:ascii="Arial" w:hAnsi="Arial" w:cs="Arial"/>
          <w:sz w:val="28"/>
          <w:szCs w:val="28"/>
        </w:rPr>
        <w:t xml:space="preserve"> </w:t>
      </w:r>
      <w:r w:rsidR="00BB76D2">
        <w:rPr>
          <w:rFonts w:ascii="Arial" w:hAnsi="Arial" w:cs="Arial"/>
          <w:sz w:val="28"/>
          <w:szCs w:val="28"/>
        </w:rPr>
        <w:t>and</w:t>
      </w:r>
      <w:r w:rsidR="003B54C4">
        <w:rPr>
          <w:rFonts w:ascii="Arial" w:hAnsi="Arial" w:cs="Arial"/>
          <w:sz w:val="28"/>
          <w:szCs w:val="28"/>
        </w:rPr>
        <w:t xml:space="preserve"> provide specific feedback on</w:t>
      </w:r>
      <w:r w:rsidR="00BB76D2">
        <w:rPr>
          <w:rFonts w:ascii="Arial" w:hAnsi="Arial" w:cs="Arial"/>
          <w:sz w:val="28"/>
          <w:szCs w:val="28"/>
        </w:rPr>
        <w:t xml:space="preserve"> each</w:t>
      </w:r>
      <w:r w:rsidR="003B54C4">
        <w:rPr>
          <w:rFonts w:ascii="Arial" w:hAnsi="Arial" w:cs="Arial"/>
          <w:sz w:val="28"/>
          <w:szCs w:val="28"/>
        </w:rPr>
        <w:t xml:space="preserve"> device on how </w:t>
      </w:r>
      <w:r w:rsidR="00BB76D2">
        <w:rPr>
          <w:rFonts w:ascii="Arial" w:hAnsi="Arial" w:cs="Arial"/>
          <w:sz w:val="28"/>
          <w:szCs w:val="28"/>
        </w:rPr>
        <w:t xml:space="preserve">its </w:t>
      </w:r>
      <w:r w:rsidR="003B54C4">
        <w:rPr>
          <w:rFonts w:ascii="Arial" w:hAnsi="Arial" w:cs="Arial"/>
          <w:sz w:val="28"/>
          <w:szCs w:val="28"/>
        </w:rPr>
        <w:t xml:space="preserve">accessibility can be improved. </w:t>
      </w:r>
    </w:p>
    <w:p w14:paraId="521F5716" w14:textId="15CA54CE" w:rsidR="00150E6A" w:rsidRPr="00B620FB" w:rsidRDefault="00B03FD3" w:rsidP="00E62DC9">
      <w:pPr>
        <w:rPr>
          <w:rFonts w:ascii="Arial" w:hAnsi="Arial" w:cs="Arial"/>
          <w:sz w:val="28"/>
          <w:szCs w:val="28"/>
        </w:rPr>
      </w:pPr>
      <w:r w:rsidRPr="00B620FB">
        <w:rPr>
          <w:rFonts w:ascii="Arial" w:hAnsi="Arial" w:cs="Arial"/>
          <w:b/>
          <w:bCs/>
          <w:sz w:val="32"/>
          <w:szCs w:val="32"/>
        </w:rPr>
        <w:t>Background Information</w:t>
      </w:r>
    </w:p>
    <w:p w14:paraId="3FB1E01B" w14:textId="3A08D439" w:rsidR="00675ED5" w:rsidRPr="00B620FB" w:rsidRDefault="00675ED5" w:rsidP="00675ED5">
      <w:pPr>
        <w:pStyle w:val="ListParagraph"/>
        <w:numPr>
          <w:ilvl w:val="0"/>
          <w:numId w:val="14"/>
        </w:numPr>
        <w:rPr>
          <w:rFonts w:ascii="Arial" w:hAnsi="Arial" w:cs="Arial"/>
          <w:sz w:val="28"/>
          <w:szCs w:val="28"/>
        </w:rPr>
      </w:pPr>
      <w:r w:rsidRPr="00B620FB">
        <w:rPr>
          <w:rFonts w:ascii="Arial" w:hAnsi="Arial" w:cs="Arial"/>
          <w:sz w:val="28"/>
          <w:szCs w:val="28"/>
        </w:rPr>
        <w:t xml:space="preserve">Insulin </w:t>
      </w:r>
      <w:r w:rsidR="00BB76D2">
        <w:rPr>
          <w:rFonts w:ascii="Arial" w:hAnsi="Arial" w:cs="Arial"/>
          <w:sz w:val="28"/>
          <w:szCs w:val="28"/>
        </w:rPr>
        <w:t>p</w:t>
      </w:r>
      <w:r w:rsidRPr="00B620FB">
        <w:rPr>
          <w:rFonts w:ascii="Arial" w:hAnsi="Arial" w:cs="Arial"/>
          <w:sz w:val="28"/>
          <w:szCs w:val="28"/>
        </w:rPr>
        <w:t xml:space="preserve">umps are medical devices that are used by people with diabetes as an alternative to administering insulin through a syringe or pen. </w:t>
      </w:r>
    </w:p>
    <w:p w14:paraId="05CFEB92" w14:textId="77777777" w:rsidR="00675ED5" w:rsidRPr="00AA7043" w:rsidRDefault="00675ED5" w:rsidP="00675ED5">
      <w:pPr>
        <w:pStyle w:val="ListParagraph"/>
        <w:numPr>
          <w:ilvl w:val="0"/>
          <w:numId w:val="14"/>
        </w:numPr>
        <w:rPr>
          <w:rFonts w:ascii="Arial" w:hAnsi="Arial" w:cs="Arial"/>
          <w:sz w:val="28"/>
          <w:szCs w:val="28"/>
        </w:rPr>
      </w:pPr>
      <w:r w:rsidRPr="00AA7043">
        <w:rPr>
          <w:rFonts w:ascii="Arial" w:hAnsi="Arial" w:cs="Arial"/>
          <w:sz w:val="28"/>
          <w:szCs w:val="28"/>
        </w:rPr>
        <w:t xml:space="preserve">There are approximately </w:t>
      </w:r>
      <w:r w:rsidRPr="00AA7043">
        <w:rPr>
          <w:rFonts w:ascii="Arial" w:hAnsi="Arial" w:cs="Arial"/>
          <w:sz w:val="28"/>
          <w:szCs w:val="28"/>
          <w:shd w:val="clear" w:color="auto" w:fill="FFFFFF"/>
        </w:rPr>
        <w:t>750,000 people</w:t>
      </w:r>
      <w:r w:rsidRPr="00AA7043">
        <w:rPr>
          <w:rFonts w:ascii="Arial" w:hAnsi="Arial" w:cs="Arial"/>
          <w:sz w:val="28"/>
          <w:szCs w:val="28"/>
        </w:rPr>
        <w:t xml:space="preserve"> living with diabetic retinopathy in Canada. </w:t>
      </w:r>
    </w:p>
    <w:p w14:paraId="0E242F0B" w14:textId="5CF2D9E8" w:rsidR="00675ED5" w:rsidRPr="00B620FB" w:rsidRDefault="00675ED5" w:rsidP="00675ED5">
      <w:pPr>
        <w:pStyle w:val="ListParagraph"/>
        <w:numPr>
          <w:ilvl w:val="0"/>
          <w:numId w:val="14"/>
        </w:numPr>
        <w:rPr>
          <w:rFonts w:ascii="Arial" w:hAnsi="Arial" w:cs="Arial"/>
          <w:sz w:val="28"/>
          <w:szCs w:val="28"/>
        </w:rPr>
      </w:pPr>
      <w:r w:rsidRPr="00B620FB">
        <w:rPr>
          <w:rFonts w:ascii="Arial" w:hAnsi="Arial" w:cs="Arial"/>
          <w:sz w:val="28"/>
          <w:szCs w:val="28"/>
        </w:rPr>
        <w:t xml:space="preserve"> </w:t>
      </w:r>
      <w:r w:rsidR="00B620FB" w:rsidRPr="00B620FB">
        <w:rPr>
          <w:rFonts w:ascii="Arial" w:hAnsi="Arial" w:cs="Arial"/>
          <w:sz w:val="28"/>
          <w:szCs w:val="28"/>
        </w:rPr>
        <w:t>Diabetic retinopathy is the fourth leading cause of blindness in Canada (Cost of Vision Loss Report)</w:t>
      </w:r>
      <w:r w:rsidR="00BB76D2">
        <w:rPr>
          <w:rFonts w:ascii="Arial" w:hAnsi="Arial" w:cs="Arial"/>
          <w:sz w:val="28"/>
          <w:szCs w:val="28"/>
        </w:rPr>
        <w:t>.</w:t>
      </w:r>
    </w:p>
    <w:sectPr w:rsidR="00675ED5" w:rsidRPr="00B620FB" w:rsidSect="00E62DC9">
      <w:head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0F04" w14:textId="77777777" w:rsidR="001D5967" w:rsidRDefault="001D5967" w:rsidP="005D260D">
      <w:pPr>
        <w:spacing w:after="0" w:line="240" w:lineRule="auto"/>
      </w:pPr>
      <w:r>
        <w:separator/>
      </w:r>
    </w:p>
  </w:endnote>
  <w:endnote w:type="continuationSeparator" w:id="0">
    <w:p w14:paraId="167925B7" w14:textId="77777777" w:rsidR="001D5967" w:rsidRDefault="001D5967"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0B28F" w14:textId="77777777" w:rsidR="001D5967" w:rsidRDefault="001D5967" w:rsidP="005D260D">
      <w:pPr>
        <w:spacing w:after="0" w:line="240" w:lineRule="auto"/>
      </w:pPr>
      <w:r>
        <w:separator/>
      </w:r>
    </w:p>
  </w:footnote>
  <w:footnote w:type="continuationSeparator" w:id="0">
    <w:p w14:paraId="4947C632" w14:textId="77777777" w:rsidR="001D5967" w:rsidRDefault="001D5967"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EA33" w14:textId="77777777" w:rsidR="005D260D" w:rsidRPr="0086350B" w:rsidRDefault="0086350B" w:rsidP="00E62DC9">
    <w:pPr>
      <w:pStyle w:val="Header"/>
      <w:ind w:left="-1170"/>
      <w:jc w:val="center"/>
    </w:pPr>
    <w:r>
      <w:rPr>
        <w:noProof/>
      </w:rPr>
      <w:drawing>
        <wp:inline distT="0" distB="0" distL="0" distR="0" wp14:anchorId="228E3E36" wp14:editId="45F56001">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7860" w14:textId="77777777" w:rsidR="00AB28EE" w:rsidRDefault="0007756F" w:rsidP="00E62DC9">
    <w:pPr>
      <w:pStyle w:val="Header"/>
      <w:ind w:left="-1170"/>
      <w:jc w:val="center"/>
    </w:pPr>
    <w:r>
      <w:rPr>
        <w:noProof/>
      </w:rPr>
      <w:drawing>
        <wp:inline distT="0" distB="0" distL="0" distR="0" wp14:anchorId="7170DDA7" wp14:editId="11F440F6">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A66"/>
    <w:multiLevelType w:val="hybridMultilevel"/>
    <w:tmpl w:val="D514E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C05F5"/>
    <w:multiLevelType w:val="hybridMultilevel"/>
    <w:tmpl w:val="58029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80D09"/>
    <w:multiLevelType w:val="multilevel"/>
    <w:tmpl w:val="8672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F75CD"/>
    <w:multiLevelType w:val="multilevel"/>
    <w:tmpl w:val="126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D7116"/>
    <w:multiLevelType w:val="hybridMultilevel"/>
    <w:tmpl w:val="653E5C3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E8083B"/>
    <w:multiLevelType w:val="hybridMultilevel"/>
    <w:tmpl w:val="E5BC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9080C"/>
    <w:multiLevelType w:val="hybridMultilevel"/>
    <w:tmpl w:val="A8FC7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6A4609"/>
    <w:multiLevelType w:val="hybridMultilevel"/>
    <w:tmpl w:val="F0F227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0E113D"/>
    <w:multiLevelType w:val="hybridMultilevel"/>
    <w:tmpl w:val="FA96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CC6AA1"/>
    <w:multiLevelType w:val="hybridMultilevel"/>
    <w:tmpl w:val="DA66F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C44371"/>
    <w:multiLevelType w:val="hybridMultilevel"/>
    <w:tmpl w:val="08D2E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7D7E6E"/>
    <w:multiLevelType w:val="multilevel"/>
    <w:tmpl w:val="08FC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15981"/>
    <w:multiLevelType w:val="hybridMultilevel"/>
    <w:tmpl w:val="70DE65A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F05793"/>
    <w:multiLevelType w:val="hybridMultilevel"/>
    <w:tmpl w:val="CD1405B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B200A0"/>
    <w:multiLevelType w:val="hybridMultilevel"/>
    <w:tmpl w:val="628ADE7C"/>
    <w:lvl w:ilvl="0" w:tplc="10090003">
      <w:start w:val="1"/>
      <w:numFmt w:val="bullet"/>
      <w:lvlText w:val="o"/>
      <w:lvlJc w:val="left"/>
      <w:pPr>
        <w:ind w:left="720" w:hanging="360"/>
      </w:pPr>
      <w:rPr>
        <w:rFonts w:ascii="Courier New" w:hAnsi="Courier New" w:cs="Courier New" w:hint="default"/>
      </w:rPr>
    </w:lvl>
    <w:lvl w:ilvl="1" w:tplc="F35A66D8">
      <w:numFmt w:val="bullet"/>
      <w:lvlText w:val="-"/>
      <w:lvlJc w:val="left"/>
      <w:pPr>
        <w:ind w:left="1440" w:hanging="360"/>
      </w:pPr>
      <w:rPr>
        <w:rFonts w:ascii="Arial" w:eastAsiaTheme="minorHAnsi" w:hAnsi="Arial" w:cs="Arial"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6"/>
  </w:num>
  <w:num w:numId="6">
    <w:abstractNumId w:val="9"/>
  </w:num>
  <w:num w:numId="7">
    <w:abstractNumId w:val="15"/>
  </w:num>
  <w:num w:numId="8">
    <w:abstractNumId w:val="13"/>
  </w:num>
  <w:num w:numId="9">
    <w:abstractNumId w:val="4"/>
  </w:num>
  <w:num w:numId="10">
    <w:abstractNumId w:val="2"/>
  </w:num>
  <w:num w:numId="11">
    <w:abstractNumId w:val="12"/>
  </w:num>
  <w:num w:numId="12">
    <w:abstractNumId w:val="10"/>
  </w:num>
  <w:num w:numId="13">
    <w:abstractNumId w:val="0"/>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330B5"/>
    <w:rsid w:val="00047F48"/>
    <w:rsid w:val="000528B8"/>
    <w:rsid w:val="00053010"/>
    <w:rsid w:val="0007756F"/>
    <w:rsid w:val="00085534"/>
    <w:rsid w:val="00092CAF"/>
    <w:rsid w:val="000C3326"/>
    <w:rsid w:val="000C5F47"/>
    <w:rsid w:val="000D6AF4"/>
    <w:rsid w:val="0011046F"/>
    <w:rsid w:val="00146A83"/>
    <w:rsid w:val="0015021E"/>
    <w:rsid w:val="00150E6A"/>
    <w:rsid w:val="0015559C"/>
    <w:rsid w:val="00166E5E"/>
    <w:rsid w:val="001B1F99"/>
    <w:rsid w:val="001D5967"/>
    <w:rsid w:val="00241AC3"/>
    <w:rsid w:val="00257B80"/>
    <w:rsid w:val="00264860"/>
    <w:rsid w:val="00290914"/>
    <w:rsid w:val="00292A67"/>
    <w:rsid w:val="002E4A60"/>
    <w:rsid w:val="003477DE"/>
    <w:rsid w:val="003525C2"/>
    <w:rsid w:val="003672B8"/>
    <w:rsid w:val="00367D4B"/>
    <w:rsid w:val="00382ED6"/>
    <w:rsid w:val="003955D5"/>
    <w:rsid w:val="003A4B7F"/>
    <w:rsid w:val="003B54C4"/>
    <w:rsid w:val="00426234"/>
    <w:rsid w:val="004A545B"/>
    <w:rsid w:val="004B5C91"/>
    <w:rsid w:val="004D1DCA"/>
    <w:rsid w:val="004D2F63"/>
    <w:rsid w:val="004E02E7"/>
    <w:rsid w:val="004E36F5"/>
    <w:rsid w:val="005466B0"/>
    <w:rsid w:val="00566B61"/>
    <w:rsid w:val="00586DE9"/>
    <w:rsid w:val="005D260D"/>
    <w:rsid w:val="005E6406"/>
    <w:rsid w:val="005E662B"/>
    <w:rsid w:val="0060055A"/>
    <w:rsid w:val="006049C1"/>
    <w:rsid w:val="00634650"/>
    <w:rsid w:val="006643B9"/>
    <w:rsid w:val="00675ED5"/>
    <w:rsid w:val="00677611"/>
    <w:rsid w:val="0069326D"/>
    <w:rsid w:val="006C4A84"/>
    <w:rsid w:val="007401DB"/>
    <w:rsid w:val="007758AD"/>
    <w:rsid w:val="00782970"/>
    <w:rsid w:val="007B4190"/>
    <w:rsid w:val="007F5E70"/>
    <w:rsid w:val="0080561B"/>
    <w:rsid w:val="0083088C"/>
    <w:rsid w:val="00832B69"/>
    <w:rsid w:val="0085786E"/>
    <w:rsid w:val="00862BC1"/>
    <w:rsid w:val="0086350B"/>
    <w:rsid w:val="00877683"/>
    <w:rsid w:val="0088048E"/>
    <w:rsid w:val="008D280C"/>
    <w:rsid w:val="008F40FE"/>
    <w:rsid w:val="00903AC5"/>
    <w:rsid w:val="0092139B"/>
    <w:rsid w:val="009276B0"/>
    <w:rsid w:val="00953510"/>
    <w:rsid w:val="00957526"/>
    <w:rsid w:val="00987865"/>
    <w:rsid w:val="009A6634"/>
    <w:rsid w:val="009B0F2D"/>
    <w:rsid w:val="009B2C0D"/>
    <w:rsid w:val="009B6D7C"/>
    <w:rsid w:val="009D0E1F"/>
    <w:rsid w:val="00A45EB8"/>
    <w:rsid w:val="00A825DD"/>
    <w:rsid w:val="00AA7043"/>
    <w:rsid w:val="00AB0BF8"/>
    <w:rsid w:val="00AB28EE"/>
    <w:rsid w:val="00AE723B"/>
    <w:rsid w:val="00AF1C6C"/>
    <w:rsid w:val="00B03FD3"/>
    <w:rsid w:val="00B21E05"/>
    <w:rsid w:val="00B27254"/>
    <w:rsid w:val="00B620FB"/>
    <w:rsid w:val="00B72BA2"/>
    <w:rsid w:val="00BB76D2"/>
    <w:rsid w:val="00BF1350"/>
    <w:rsid w:val="00BF3C0A"/>
    <w:rsid w:val="00C16A8A"/>
    <w:rsid w:val="00C26715"/>
    <w:rsid w:val="00C63B57"/>
    <w:rsid w:val="00CB568D"/>
    <w:rsid w:val="00CE241D"/>
    <w:rsid w:val="00D056E2"/>
    <w:rsid w:val="00D10C90"/>
    <w:rsid w:val="00D40758"/>
    <w:rsid w:val="00D540DF"/>
    <w:rsid w:val="00D678C8"/>
    <w:rsid w:val="00D913D7"/>
    <w:rsid w:val="00DA2AE1"/>
    <w:rsid w:val="00DB1C1C"/>
    <w:rsid w:val="00DB7328"/>
    <w:rsid w:val="00DC492A"/>
    <w:rsid w:val="00DC69D0"/>
    <w:rsid w:val="00DD2518"/>
    <w:rsid w:val="00DE754F"/>
    <w:rsid w:val="00DF1738"/>
    <w:rsid w:val="00DF6427"/>
    <w:rsid w:val="00E05AF6"/>
    <w:rsid w:val="00E4417C"/>
    <w:rsid w:val="00E62DC9"/>
    <w:rsid w:val="00E731C7"/>
    <w:rsid w:val="00E85449"/>
    <w:rsid w:val="00EE25FF"/>
    <w:rsid w:val="00EF1C02"/>
    <w:rsid w:val="00EF73C4"/>
    <w:rsid w:val="00F06315"/>
    <w:rsid w:val="00F21328"/>
    <w:rsid w:val="00F24143"/>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395BA"/>
  <w15:chartTrackingRefBased/>
  <w15:docId w15:val="{D5AA5CB8-E48A-4D1B-A4E9-5BFC27A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NoSpacing">
    <w:name w:val="No Spacing"/>
    <w:uiPriority w:val="1"/>
    <w:unhideWhenUsed/>
    <w:qFormat/>
    <w:rsid w:val="009276B0"/>
    <w:pPr>
      <w:spacing w:after="0" w:line="240" w:lineRule="auto"/>
    </w:pPr>
    <w:rPr>
      <w:rFonts w:ascii="Verdana" w:eastAsia="Times New Roman" w:hAnsi="Verdana" w:cs="Times New Roman"/>
      <w:sz w:val="24"/>
      <w:szCs w:val="24"/>
      <w:lang w:val="en-CA"/>
    </w:rPr>
  </w:style>
  <w:style w:type="character" w:styleId="Emphasis">
    <w:name w:val="Emphasis"/>
    <w:basedOn w:val="DefaultParagraphFont"/>
    <w:uiPriority w:val="20"/>
    <w:qFormat/>
    <w:rsid w:val="009276B0"/>
    <w:rPr>
      <w:i/>
      <w:iCs/>
    </w:rPr>
  </w:style>
  <w:style w:type="character" w:styleId="Hyperlink">
    <w:name w:val="Hyperlink"/>
    <w:basedOn w:val="DefaultParagraphFont"/>
    <w:uiPriority w:val="99"/>
    <w:unhideWhenUsed/>
    <w:rsid w:val="004E02E7"/>
    <w:rPr>
      <w:color w:val="0000FF" w:themeColor="hyperlink"/>
      <w:u w:val="single"/>
    </w:rPr>
  </w:style>
  <w:style w:type="paragraph" w:styleId="NormalWeb">
    <w:name w:val="Normal (Web)"/>
    <w:basedOn w:val="Normal"/>
    <w:uiPriority w:val="99"/>
    <w:unhideWhenUsed/>
    <w:rsid w:val="004D2F63"/>
    <w:pPr>
      <w:spacing w:before="100" w:beforeAutospacing="1" w:after="100" w:afterAutospacing="1" w:line="254" w:lineRule="auto"/>
    </w:pPr>
    <w:rPr>
      <w:rFonts w:asciiTheme="minorHAnsi" w:hAnsiTheme="minorHAnsi"/>
      <w:color w:val="000000"/>
      <w:sz w:val="22"/>
      <w:lang w:val="en-CA" w:eastAsia="en-CA"/>
    </w:rPr>
  </w:style>
  <w:style w:type="character" w:styleId="Strong">
    <w:name w:val="Strong"/>
    <w:basedOn w:val="DefaultParagraphFont"/>
    <w:uiPriority w:val="22"/>
    <w:qFormat/>
    <w:rsid w:val="00677611"/>
    <w:rPr>
      <w:b/>
      <w:bCs/>
    </w:rPr>
  </w:style>
  <w:style w:type="paragraph" w:customStyle="1" w:styleId="Default">
    <w:name w:val="Default"/>
    <w:rsid w:val="00782970"/>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92CAF"/>
    <w:rPr>
      <w:sz w:val="16"/>
      <w:szCs w:val="16"/>
    </w:rPr>
  </w:style>
  <w:style w:type="paragraph" w:styleId="CommentText">
    <w:name w:val="annotation text"/>
    <w:basedOn w:val="Normal"/>
    <w:link w:val="CommentTextChar"/>
    <w:uiPriority w:val="99"/>
    <w:semiHidden/>
    <w:unhideWhenUsed/>
    <w:rsid w:val="00092CAF"/>
    <w:pPr>
      <w:spacing w:line="240" w:lineRule="auto"/>
    </w:pPr>
    <w:rPr>
      <w:sz w:val="20"/>
      <w:szCs w:val="20"/>
    </w:rPr>
  </w:style>
  <w:style w:type="character" w:customStyle="1" w:styleId="CommentTextChar">
    <w:name w:val="Comment Text Char"/>
    <w:basedOn w:val="DefaultParagraphFont"/>
    <w:link w:val="CommentText"/>
    <w:uiPriority w:val="99"/>
    <w:semiHidden/>
    <w:rsid w:val="00092C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92CAF"/>
    <w:rPr>
      <w:b/>
      <w:bCs/>
    </w:rPr>
  </w:style>
  <w:style w:type="character" w:customStyle="1" w:styleId="CommentSubjectChar">
    <w:name w:val="Comment Subject Char"/>
    <w:basedOn w:val="CommentTextChar"/>
    <w:link w:val="CommentSubject"/>
    <w:uiPriority w:val="99"/>
    <w:semiHidden/>
    <w:rsid w:val="00092CAF"/>
    <w:rPr>
      <w:rFonts w:ascii="Verdana" w:hAnsi="Verdana"/>
      <w:b/>
      <w:bCs/>
      <w:sz w:val="20"/>
      <w:szCs w:val="20"/>
    </w:rPr>
  </w:style>
  <w:style w:type="paragraph" w:styleId="BalloonText">
    <w:name w:val="Balloon Text"/>
    <w:basedOn w:val="Normal"/>
    <w:link w:val="BalloonTextChar"/>
    <w:uiPriority w:val="99"/>
    <w:semiHidden/>
    <w:unhideWhenUsed/>
    <w:rsid w:val="0009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AF"/>
    <w:rPr>
      <w:rFonts w:ascii="Segoe UI" w:hAnsi="Segoe UI" w:cs="Segoe UI"/>
      <w:sz w:val="18"/>
      <w:szCs w:val="18"/>
    </w:rPr>
  </w:style>
  <w:style w:type="paragraph" w:styleId="Revision">
    <w:name w:val="Revision"/>
    <w:hidden/>
    <w:uiPriority w:val="99"/>
    <w:semiHidden/>
    <w:rsid w:val="00092CAF"/>
    <w:pPr>
      <w:spacing w:after="0" w:line="240" w:lineRule="auto"/>
    </w:pPr>
    <w:rPr>
      <w:rFonts w:ascii="Verdana" w:hAnsi="Verdana"/>
      <w:sz w:val="24"/>
    </w:rPr>
  </w:style>
  <w:style w:type="paragraph" w:customStyle="1" w:styleId="xxmsonormal">
    <w:name w:val="x_xmsonormal"/>
    <w:basedOn w:val="Normal"/>
    <w:rsid w:val="00F24143"/>
    <w:pPr>
      <w:spacing w:after="0" w:line="240" w:lineRule="auto"/>
    </w:pPr>
    <w:rPr>
      <w:rFonts w:ascii="Calibri" w:hAnsi="Calibri" w:cs="Calibr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123">
      <w:bodyDiv w:val="1"/>
      <w:marLeft w:val="0"/>
      <w:marRight w:val="0"/>
      <w:marTop w:val="0"/>
      <w:marBottom w:val="0"/>
      <w:divBdr>
        <w:top w:val="none" w:sz="0" w:space="0" w:color="auto"/>
        <w:left w:val="none" w:sz="0" w:space="0" w:color="auto"/>
        <w:bottom w:val="none" w:sz="0" w:space="0" w:color="auto"/>
        <w:right w:val="none" w:sz="0" w:space="0" w:color="auto"/>
      </w:divBdr>
    </w:div>
    <w:div w:id="16086814">
      <w:bodyDiv w:val="1"/>
      <w:marLeft w:val="0"/>
      <w:marRight w:val="0"/>
      <w:marTop w:val="0"/>
      <w:marBottom w:val="0"/>
      <w:divBdr>
        <w:top w:val="none" w:sz="0" w:space="0" w:color="auto"/>
        <w:left w:val="none" w:sz="0" w:space="0" w:color="auto"/>
        <w:bottom w:val="none" w:sz="0" w:space="0" w:color="auto"/>
        <w:right w:val="none" w:sz="0" w:space="0" w:color="auto"/>
      </w:divBdr>
    </w:div>
    <w:div w:id="267204589">
      <w:bodyDiv w:val="1"/>
      <w:marLeft w:val="0"/>
      <w:marRight w:val="0"/>
      <w:marTop w:val="0"/>
      <w:marBottom w:val="0"/>
      <w:divBdr>
        <w:top w:val="none" w:sz="0" w:space="0" w:color="auto"/>
        <w:left w:val="none" w:sz="0" w:space="0" w:color="auto"/>
        <w:bottom w:val="none" w:sz="0" w:space="0" w:color="auto"/>
        <w:right w:val="none" w:sz="0" w:space="0" w:color="auto"/>
      </w:divBdr>
    </w:div>
    <w:div w:id="808547155">
      <w:bodyDiv w:val="1"/>
      <w:marLeft w:val="0"/>
      <w:marRight w:val="0"/>
      <w:marTop w:val="0"/>
      <w:marBottom w:val="0"/>
      <w:divBdr>
        <w:top w:val="none" w:sz="0" w:space="0" w:color="auto"/>
        <w:left w:val="none" w:sz="0" w:space="0" w:color="auto"/>
        <w:bottom w:val="none" w:sz="0" w:space="0" w:color="auto"/>
        <w:right w:val="none" w:sz="0" w:space="0" w:color="auto"/>
      </w:divBdr>
    </w:div>
    <w:div w:id="1312294854">
      <w:bodyDiv w:val="1"/>
      <w:marLeft w:val="0"/>
      <w:marRight w:val="0"/>
      <w:marTop w:val="0"/>
      <w:marBottom w:val="0"/>
      <w:divBdr>
        <w:top w:val="none" w:sz="0" w:space="0" w:color="auto"/>
        <w:left w:val="none" w:sz="0" w:space="0" w:color="auto"/>
        <w:bottom w:val="none" w:sz="0" w:space="0" w:color="auto"/>
        <w:right w:val="none" w:sz="0" w:space="0" w:color="auto"/>
      </w:divBdr>
    </w:div>
    <w:div w:id="1482430526">
      <w:bodyDiv w:val="1"/>
      <w:marLeft w:val="0"/>
      <w:marRight w:val="0"/>
      <w:marTop w:val="0"/>
      <w:marBottom w:val="0"/>
      <w:divBdr>
        <w:top w:val="none" w:sz="0" w:space="0" w:color="auto"/>
        <w:left w:val="none" w:sz="0" w:space="0" w:color="auto"/>
        <w:bottom w:val="none" w:sz="0" w:space="0" w:color="auto"/>
        <w:right w:val="none" w:sz="0" w:space="0" w:color="auto"/>
      </w:divBdr>
    </w:div>
    <w:div w:id="15047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6" ma:contentTypeDescription="Create a new document." ma:contentTypeScope="" ma:versionID="e6d69271ba3b7b435467de6264cddc56">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1eee0941b7202ca6463f7f53a6ad9316"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t_x0020_Type xmlns="c657a06b-7b0e-4411-9e07-ce8d471ada44">Templates</Asset_x0020_Type>
    <Region xmlns="c657a06b-7b0e-4411-9e07-ce8d471ada44">National</Region>
    <Doc_x0020_Type xmlns="c657a06b-7b0e-4411-9e07-ce8d471ada44">DOC</Doc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174C-C3E0-493D-BDB7-808C0DEE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c657a06b-7b0e-4411-9e07-ce8d471ada44"/>
  </ds:schemaRefs>
</ds:datastoreItem>
</file>

<file path=customXml/itemProps4.xml><?xml version="1.0" encoding="utf-8"?>
<ds:datastoreItem xmlns:ds="http://schemas.openxmlformats.org/officeDocument/2006/customXml" ds:itemID="{5AD2ACC3-2C29-4876-8682-63293CAD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Kat Clarke</cp:lastModifiedBy>
  <cp:revision>6</cp:revision>
  <dcterms:created xsi:type="dcterms:W3CDTF">2020-04-16T14:55:00Z</dcterms:created>
  <dcterms:modified xsi:type="dcterms:W3CDTF">2020-06-01T14:00:00Z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78500</vt:r8>
  </property>
</Properties>
</file>