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4AAFB" w14:textId="064063B6" w:rsidR="00DF065C" w:rsidRPr="00C37790" w:rsidRDefault="00C37790" w:rsidP="00041F18">
      <w:pPr>
        <w:pStyle w:val="Heading1"/>
        <w:spacing w:line="240" w:lineRule="auto"/>
        <w:contextualSpacing/>
        <w:rPr>
          <w:rFonts w:ascii="Arial Black" w:hAnsi="Arial Black" w:cs="Arial"/>
          <w:b/>
          <w:bCs/>
          <w:color w:val="auto"/>
          <w:lang w:val="fr-CA"/>
        </w:rPr>
      </w:pPr>
      <w:r w:rsidRPr="00C37790">
        <w:rPr>
          <w:rFonts w:ascii="Arial" w:hAnsi="Arial" w:cs="Arial"/>
          <w:b/>
          <w:bCs/>
          <w:color w:val="auto"/>
          <w:lang w:val="fr-CA"/>
        </w:rPr>
        <w:t xml:space="preserve">Appel à la rétroaction de l'ACMTS : </w:t>
      </w:r>
      <w:r w:rsidR="004821B6" w:rsidRPr="00C37790">
        <w:rPr>
          <w:rFonts w:ascii="Arial" w:hAnsi="Arial" w:cs="Arial"/>
          <w:b/>
          <w:bCs/>
          <w:color w:val="auto"/>
          <w:lang w:val="fr-CA"/>
        </w:rPr>
        <w:br/>
      </w:r>
      <w:bookmarkStart w:id="0" w:name="_Hlk69905319"/>
      <w:r w:rsidR="00354A5A" w:rsidRPr="00354A5A">
        <w:rPr>
          <w:rFonts w:ascii="Arial Black" w:hAnsi="Arial Black" w:cs="Arial"/>
          <w:b/>
          <w:bCs/>
          <w:color w:val="auto"/>
          <w:lang w:val="fr-CA"/>
        </w:rPr>
        <w:t xml:space="preserve">Les systèmes hybrides d’administration d’insuline en boucle fermée dans la prise en charge thérapeutique du diabète de type 1 </w:t>
      </w:r>
      <w:bookmarkEnd w:id="0"/>
    </w:p>
    <w:p w14:paraId="75FC14DF" w14:textId="3109586F" w:rsidR="00041F18" w:rsidRPr="00C37790" w:rsidRDefault="00354A5A" w:rsidP="007B7EA8">
      <w:pPr>
        <w:pStyle w:val="Heading2"/>
        <w:spacing w:line="276" w:lineRule="auto"/>
        <w:contextualSpacing/>
        <w:rPr>
          <w:rFonts w:ascii="Arial" w:hAnsi="Arial" w:cs="Arial"/>
          <w:sz w:val="28"/>
          <w:szCs w:val="28"/>
          <w:lang w:val="fr-CA"/>
        </w:rPr>
      </w:pPr>
      <w:r>
        <w:rPr>
          <w:rFonts w:ascii="Arial" w:hAnsi="Arial" w:cs="Arial"/>
          <w:sz w:val="28"/>
          <w:szCs w:val="28"/>
          <w:lang w:val="fr-CA"/>
        </w:rPr>
        <w:t>Rétroaction de la Fondation INCA</w:t>
      </w:r>
      <w:r w:rsidR="00DF065C" w:rsidRPr="00C37790">
        <w:rPr>
          <w:rFonts w:ascii="Arial" w:hAnsi="Arial" w:cs="Arial"/>
          <w:sz w:val="28"/>
          <w:szCs w:val="28"/>
          <w:lang w:val="fr-CA"/>
        </w:rPr>
        <w:t xml:space="preserve"> </w:t>
      </w:r>
    </w:p>
    <w:p w14:paraId="148536B5" w14:textId="77777777" w:rsidR="00C37790" w:rsidRPr="00C37790" w:rsidRDefault="00C37790" w:rsidP="00C37790">
      <w:pPr>
        <w:pStyle w:val="paragraph"/>
        <w:spacing w:after="0"/>
        <w:textAlignment w:val="baseline"/>
        <w:rPr>
          <w:rStyle w:val="normaltextrun"/>
          <w:rFonts w:ascii="Arial" w:hAnsi="Arial" w:cs="Arial"/>
          <w:b/>
          <w:bCs/>
          <w:lang w:val="fr-CA"/>
        </w:rPr>
      </w:pPr>
      <w:r w:rsidRPr="00C37790">
        <w:rPr>
          <w:rStyle w:val="normaltextrun"/>
          <w:rFonts w:ascii="Arial" w:hAnsi="Arial" w:cs="Arial"/>
          <w:b/>
          <w:bCs/>
          <w:lang w:val="fr-CA"/>
        </w:rPr>
        <w:t>À propos de la Fondation</w:t>
      </w:r>
    </w:p>
    <w:p w14:paraId="55907DBE" w14:textId="4DB5DA08" w:rsidR="00C37790" w:rsidRPr="00C37790" w:rsidRDefault="00C37790" w:rsidP="00C37790">
      <w:pPr>
        <w:pStyle w:val="paragraph"/>
        <w:spacing w:after="0"/>
        <w:textAlignment w:val="baseline"/>
        <w:rPr>
          <w:rFonts w:ascii="Segoe UI" w:hAnsi="Segoe UI" w:cs="Segoe UI"/>
          <w:sz w:val="18"/>
          <w:szCs w:val="18"/>
          <w:lang w:val="fr-CA"/>
        </w:rPr>
      </w:pPr>
      <w:r w:rsidRPr="00C37790">
        <w:rPr>
          <w:rStyle w:val="normaltextrun"/>
          <w:rFonts w:ascii="Arial" w:hAnsi="Arial" w:cs="Arial"/>
          <w:lang w:val="fr-CA"/>
        </w:rPr>
        <w:t xml:space="preserve">La Fondation INCA est un organisme sans but lucratif habilitant les personnes atteintes de cécité à vivre la vie qu’elles choisissent. Financée par des dons de bienfaisance et rendue possible grâce aux contributions désintéressées de nos bénévoles, la Fondation met en œuvre des programmes novateurs et des initiatives de défense des droits énergiques qui stimulent le changement dans les communautés partout au pays. </w:t>
      </w:r>
    </w:p>
    <w:p w14:paraId="1304F450" w14:textId="5BDE1664" w:rsidR="003642E7" w:rsidRPr="00C37790" w:rsidRDefault="003642E7" w:rsidP="007B7EA8">
      <w:pPr>
        <w:pStyle w:val="Heading3"/>
        <w:spacing w:line="276" w:lineRule="auto"/>
        <w:rPr>
          <w:rFonts w:ascii="Arial Black" w:hAnsi="Arial Black" w:cs="Arial"/>
          <w:lang w:val="fr-CA"/>
        </w:rPr>
      </w:pPr>
      <w:r w:rsidRPr="00C37790">
        <w:rPr>
          <w:rFonts w:ascii="Arial Black" w:hAnsi="Arial Black" w:cs="Arial"/>
          <w:lang w:val="fr-CA"/>
        </w:rPr>
        <w:t xml:space="preserve">Introduction </w:t>
      </w:r>
    </w:p>
    <w:p w14:paraId="6D18B52F" w14:textId="1716CDA4" w:rsidR="0010785E" w:rsidRPr="003B3B0D" w:rsidRDefault="00295A14" w:rsidP="007B7EA8">
      <w:pPr>
        <w:spacing w:line="276" w:lineRule="auto"/>
        <w:rPr>
          <w:rFonts w:ascii="Arial" w:hAnsi="Arial" w:cs="Arial"/>
          <w:sz w:val="24"/>
          <w:szCs w:val="24"/>
          <w:lang w:val="fr-CA"/>
        </w:rPr>
      </w:pPr>
      <w:r>
        <w:rPr>
          <w:rFonts w:ascii="Arial" w:hAnsi="Arial" w:cs="Arial"/>
          <w:sz w:val="24"/>
          <w:szCs w:val="24"/>
          <w:lang w:val="fr-CA"/>
        </w:rPr>
        <w:t xml:space="preserve">La Fondation </w:t>
      </w:r>
      <w:r w:rsidR="00354A5A" w:rsidRPr="00354A5A">
        <w:rPr>
          <w:rFonts w:ascii="Arial" w:hAnsi="Arial" w:cs="Arial"/>
          <w:sz w:val="24"/>
          <w:szCs w:val="24"/>
          <w:lang w:val="fr-CA"/>
        </w:rPr>
        <w:t xml:space="preserve">INCA accueille favorablement l'ébauche du rapport scientifique de l'ACMTS </w:t>
      </w:r>
      <w:r w:rsidR="003B3B0D">
        <w:rPr>
          <w:rFonts w:ascii="Arial" w:hAnsi="Arial" w:cs="Arial"/>
          <w:sz w:val="24"/>
          <w:szCs w:val="24"/>
          <w:lang w:val="fr-CA"/>
        </w:rPr>
        <w:t>intitulé « L</w:t>
      </w:r>
      <w:r w:rsidR="00354A5A" w:rsidRPr="00354A5A">
        <w:rPr>
          <w:rFonts w:ascii="Arial" w:hAnsi="Arial" w:cs="Arial"/>
          <w:sz w:val="24"/>
          <w:szCs w:val="24"/>
          <w:lang w:val="fr-CA"/>
        </w:rPr>
        <w:t>es systèmes hybrides d’administration d’insuline en boucle fermée dans la prise en charge thérapeutique du diabète de type 1</w:t>
      </w:r>
      <w:r w:rsidR="00354A5A">
        <w:rPr>
          <w:rFonts w:ascii="Arial" w:hAnsi="Arial" w:cs="Arial"/>
          <w:sz w:val="24"/>
          <w:szCs w:val="24"/>
          <w:lang w:val="fr-CA"/>
        </w:rPr>
        <w:t>.</w:t>
      </w:r>
      <w:r w:rsidR="003B3B0D">
        <w:rPr>
          <w:rFonts w:ascii="Arial" w:hAnsi="Arial" w:cs="Arial"/>
          <w:sz w:val="24"/>
          <w:szCs w:val="24"/>
          <w:lang w:val="fr-CA"/>
        </w:rPr>
        <w:t> »</w:t>
      </w:r>
      <w:r w:rsidR="00354A5A" w:rsidRPr="00354A5A">
        <w:rPr>
          <w:rFonts w:ascii="Arial" w:hAnsi="Arial" w:cs="Arial"/>
          <w:sz w:val="24"/>
          <w:szCs w:val="24"/>
          <w:lang w:val="fr-CA"/>
        </w:rPr>
        <w:t xml:space="preserve"> </w:t>
      </w:r>
      <w:r w:rsidR="003B3B0D" w:rsidRPr="003B3B0D">
        <w:rPr>
          <w:rFonts w:ascii="Arial" w:hAnsi="Arial" w:cs="Arial"/>
          <w:sz w:val="24"/>
          <w:szCs w:val="24"/>
          <w:lang w:val="fr-CA"/>
        </w:rPr>
        <w:t xml:space="preserve">Le Canada compte environ 750 000 personnes atteintes de rétinopathie diabétique, et cette maladie </w:t>
      </w:r>
      <w:r>
        <w:rPr>
          <w:rFonts w:ascii="Arial" w:hAnsi="Arial" w:cs="Arial"/>
          <w:sz w:val="24"/>
          <w:szCs w:val="24"/>
          <w:lang w:val="fr-CA"/>
        </w:rPr>
        <w:t>représente</w:t>
      </w:r>
      <w:r w:rsidR="003B3B0D" w:rsidRPr="003B3B0D">
        <w:rPr>
          <w:rFonts w:ascii="Arial" w:hAnsi="Arial" w:cs="Arial"/>
          <w:sz w:val="24"/>
          <w:szCs w:val="24"/>
          <w:lang w:val="fr-CA"/>
        </w:rPr>
        <w:t xml:space="preserve"> la quatrième cause de cécité au pays </w:t>
      </w:r>
      <w:r w:rsidR="003C381B" w:rsidRPr="003B3B0D">
        <w:rPr>
          <w:rFonts w:ascii="Arial" w:hAnsi="Arial" w:cs="Arial"/>
          <w:sz w:val="24"/>
          <w:szCs w:val="24"/>
          <w:lang w:val="fr-CA"/>
        </w:rPr>
        <w:t>(</w:t>
      </w:r>
      <w:r w:rsidR="003B3B0D" w:rsidRPr="003B3B0D">
        <w:rPr>
          <w:rFonts w:ascii="Arial" w:hAnsi="Arial" w:cs="Arial"/>
          <w:i/>
          <w:iCs/>
          <w:sz w:val="24"/>
          <w:szCs w:val="24"/>
          <w:lang w:val="fr-CA"/>
        </w:rPr>
        <w:t xml:space="preserve">Le coût de la perte de vision, rapport d’INCA, </w:t>
      </w:r>
      <w:r w:rsidR="008B73D8" w:rsidRPr="003B3B0D">
        <w:rPr>
          <w:rFonts w:ascii="Arial" w:hAnsi="Arial" w:cs="Arial"/>
          <w:i/>
          <w:iCs/>
          <w:sz w:val="24"/>
          <w:szCs w:val="24"/>
          <w:lang w:val="fr-CA"/>
        </w:rPr>
        <w:t>2018</w:t>
      </w:r>
      <w:r w:rsidR="003C381B" w:rsidRPr="003B3B0D">
        <w:rPr>
          <w:rFonts w:ascii="Arial" w:hAnsi="Arial" w:cs="Arial"/>
          <w:sz w:val="24"/>
          <w:szCs w:val="24"/>
          <w:lang w:val="fr-CA"/>
        </w:rPr>
        <w:t>)</w:t>
      </w:r>
      <w:r w:rsidR="002A20BC" w:rsidRPr="003B3B0D">
        <w:rPr>
          <w:rFonts w:ascii="Arial" w:hAnsi="Arial" w:cs="Arial"/>
          <w:sz w:val="24"/>
          <w:szCs w:val="24"/>
          <w:lang w:val="fr-CA"/>
        </w:rPr>
        <w:t xml:space="preserve">, </w:t>
      </w:r>
      <w:r>
        <w:rPr>
          <w:rFonts w:ascii="Arial" w:hAnsi="Arial" w:cs="Arial"/>
          <w:sz w:val="24"/>
          <w:szCs w:val="24"/>
          <w:lang w:val="fr-CA"/>
        </w:rPr>
        <w:t xml:space="preserve">ainsi que </w:t>
      </w:r>
      <w:r w:rsidRPr="00295A14">
        <w:rPr>
          <w:rFonts w:ascii="Arial" w:hAnsi="Arial" w:cs="Arial"/>
          <w:sz w:val="24"/>
          <w:szCs w:val="24"/>
          <w:lang w:val="fr-CA"/>
        </w:rPr>
        <w:t>la première cause de cécité chez les adultes en âge de travailler au Canad</w:t>
      </w:r>
      <w:r>
        <w:rPr>
          <w:rFonts w:ascii="Arial" w:hAnsi="Arial" w:cs="Arial"/>
          <w:sz w:val="24"/>
          <w:szCs w:val="24"/>
          <w:lang w:val="fr-CA"/>
        </w:rPr>
        <w:t>a</w:t>
      </w:r>
      <w:r w:rsidR="003C381B" w:rsidRPr="003B3B0D">
        <w:rPr>
          <w:rFonts w:ascii="Arial" w:hAnsi="Arial" w:cs="Arial"/>
          <w:sz w:val="24"/>
          <w:szCs w:val="24"/>
          <w:lang w:val="fr-CA"/>
        </w:rPr>
        <w:t xml:space="preserve"> (</w:t>
      </w:r>
      <w:r w:rsidR="003B3B0D" w:rsidRPr="003B3B0D">
        <w:rPr>
          <w:rFonts w:ascii="Arial" w:hAnsi="Arial" w:cs="Arial"/>
          <w:i/>
          <w:iCs/>
          <w:sz w:val="24"/>
          <w:szCs w:val="24"/>
          <w:lang w:val="fr-CA"/>
        </w:rPr>
        <w:t>Diabète 360˚: Un cadre pour une stratégie sur le diabète pour le Canada</w:t>
      </w:r>
      <w:r>
        <w:rPr>
          <w:rFonts w:ascii="Arial" w:hAnsi="Arial" w:cs="Arial"/>
          <w:i/>
          <w:iCs/>
          <w:sz w:val="24"/>
          <w:szCs w:val="24"/>
          <w:lang w:val="fr-CA"/>
        </w:rPr>
        <w:t xml:space="preserve">, </w:t>
      </w:r>
      <w:r w:rsidRPr="003B3B0D">
        <w:rPr>
          <w:rFonts w:ascii="Arial" w:hAnsi="Arial" w:cs="Arial"/>
          <w:i/>
          <w:iCs/>
          <w:sz w:val="24"/>
          <w:szCs w:val="24"/>
          <w:lang w:val="fr-CA"/>
        </w:rPr>
        <w:t>Diab</w:t>
      </w:r>
      <w:r>
        <w:rPr>
          <w:rFonts w:ascii="Arial" w:hAnsi="Arial" w:cs="Arial"/>
          <w:i/>
          <w:iCs/>
          <w:sz w:val="24"/>
          <w:szCs w:val="24"/>
          <w:lang w:val="fr-CA"/>
        </w:rPr>
        <w:t>è</w:t>
      </w:r>
      <w:r w:rsidRPr="003B3B0D">
        <w:rPr>
          <w:rFonts w:ascii="Arial" w:hAnsi="Arial" w:cs="Arial"/>
          <w:i/>
          <w:iCs/>
          <w:sz w:val="24"/>
          <w:szCs w:val="24"/>
          <w:lang w:val="fr-CA"/>
        </w:rPr>
        <w:t>te Canada,</w:t>
      </w:r>
      <w:r>
        <w:rPr>
          <w:rFonts w:ascii="Arial" w:hAnsi="Arial" w:cs="Arial"/>
          <w:i/>
          <w:iCs/>
          <w:sz w:val="24"/>
          <w:szCs w:val="24"/>
          <w:lang w:val="fr-CA"/>
        </w:rPr>
        <w:t xml:space="preserve"> 2018</w:t>
      </w:r>
      <w:r w:rsidR="003C381B" w:rsidRPr="003B3B0D">
        <w:rPr>
          <w:rFonts w:ascii="Arial" w:hAnsi="Arial" w:cs="Arial"/>
          <w:sz w:val="24"/>
          <w:szCs w:val="24"/>
          <w:lang w:val="fr-CA"/>
        </w:rPr>
        <w:t>).</w:t>
      </w:r>
      <w:r w:rsidR="0010785E" w:rsidRPr="003B3B0D">
        <w:rPr>
          <w:rFonts w:ascii="Arial" w:hAnsi="Arial" w:cs="Arial"/>
          <w:sz w:val="24"/>
          <w:szCs w:val="24"/>
          <w:lang w:val="fr-CA"/>
        </w:rPr>
        <w:t xml:space="preserve"> </w:t>
      </w:r>
      <w:r w:rsidR="00BB3ECA" w:rsidRPr="00BB3ECA">
        <w:rPr>
          <w:rFonts w:ascii="Arial" w:hAnsi="Arial" w:cs="Arial"/>
          <w:sz w:val="24"/>
          <w:szCs w:val="24"/>
          <w:lang w:val="fr-CA"/>
        </w:rPr>
        <w:t>En ce sens, étant donné le lien étroit entre le diabète et la perte de vision, nous avons été heureux de voir la reconnaissance accordée dans le rapport de l'ACMTS concernant les répercussions de l'inaccessibilité des systèmes actuels d'administration d'insuline (3413).</w:t>
      </w:r>
      <w:r w:rsidR="00BB3ECA">
        <w:rPr>
          <w:rFonts w:ascii="Arial" w:hAnsi="Arial" w:cs="Arial"/>
          <w:sz w:val="24"/>
          <w:szCs w:val="24"/>
          <w:lang w:val="fr-CA"/>
        </w:rPr>
        <w:t xml:space="preserve"> </w:t>
      </w:r>
    </w:p>
    <w:p w14:paraId="7CD4359F" w14:textId="08AB0722" w:rsidR="007B350C" w:rsidRPr="00C37790" w:rsidRDefault="00BB3ECA" w:rsidP="007B7EA8">
      <w:pPr>
        <w:pStyle w:val="NoSpacing"/>
        <w:spacing w:line="276" w:lineRule="auto"/>
        <w:rPr>
          <w:rFonts w:ascii="Arial" w:hAnsi="Arial" w:cs="Arial"/>
          <w:lang w:val="fr-CA"/>
        </w:rPr>
      </w:pPr>
      <w:r w:rsidRPr="00BB3ECA">
        <w:rPr>
          <w:rFonts w:ascii="Arial" w:hAnsi="Arial" w:cs="Arial"/>
          <w:lang w:val="fr-CA"/>
        </w:rPr>
        <w:t>La gestion efficace et autonome de l'insuline est une lutte de longue date pour les personnes atteintes de diabète et ayant une perte de vision, en raison de la nature visuelle des méthodes et des technologies actuelles d'administration de l'insuline.</w:t>
      </w:r>
      <w:r>
        <w:rPr>
          <w:rFonts w:ascii="Arial" w:hAnsi="Arial" w:cs="Arial"/>
          <w:lang w:val="fr-CA"/>
        </w:rPr>
        <w:t xml:space="preserve"> </w:t>
      </w:r>
      <w:r w:rsidRPr="00BB3ECA">
        <w:rPr>
          <w:rFonts w:ascii="Arial" w:hAnsi="Arial" w:cs="Arial"/>
          <w:lang w:val="fr-CA"/>
        </w:rPr>
        <w:t xml:space="preserve">À la connaissance d'INCA, il n'existe actuellement aucune pompe à insuline entièrement accessible sur le marché canadien ou international. Certains anciens modèles de pompes à insuline ont des caractéristiques audio limitées pour certaines fonctions de l'appareil (p. ex. un signal sonore pour indiquer la dose d'insuline), mais une personne ne peut toujours pas utiliser toutes les fonctions de l'appareil, comme le verrouiller ou le déverrouiller, et un endocrinologue de l'Ontario a estimé que ses patients ayant une perte de vision ne peuvent utiliser qu'environ 11 % des fonctions d'une pompe à insuline, ce qui en fait </w:t>
      </w:r>
      <w:r>
        <w:rPr>
          <w:rFonts w:ascii="Arial" w:hAnsi="Arial" w:cs="Arial"/>
          <w:lang w:val="fr-CA"/>
        </w:rPr>
        <w:t>en réalité qu’</w:t>
      </w:r>
      <w:r w:rsidRPr="00BB3ECA">
        <w:rPr>
          <w:rFonts w:ascii="Arial" w:hAnsi="Arial" w:cs="Arial"/>
          <w:lang w:val="fr-CA"/>
        </w:rPr>
        <w:t xml:space="preserve">un </w:t>
      </w:r>
      <w:r>
        <w:rPr>
          <w:rFonts w:ascii="Arial" w:hAnsi="Arial" w:cs="Arial"/>
          <w:lang w:val="fr-CA"/>
        </w:rPr>
        <w:t xml:space="preserve">« banal </w:t>
      </w:r>
      <w:r w:rsidRPr="00BB3ECA">
        <w:rPr>
          <w:rFonts w:ascii="Arial" w:hAnsi="Arial" w:cs="Arial"/>
          <w:lang w:val="fr-CA"/>
        </w:rPr>
        <w:t xml:space="preserve">stylo </w:t>
      </w:r>
      <w:r>
        <w:rPr>
          <w:rFonts w:ascii="Arial" w:hAnsi="Arial" w:cs="Arial"/>
          <w:lang w:val="fr-CA"/>
        </w:rPr>
        <w:t>injecteur »</w:t>
      </w:r>
      <w:r w:rsidRPr="00BB3ECA">
        <w:rPr>
          <w:rFonts w:ascii="Arial" w:hAnsi="Arial" w:cs="Arial"/>
          <w:lang w:val="fr-CA"/>
        </w:rPr>
        <w:t>.</w:t>
      </w:r>
      <w:r>
        <w:rPr>
          <w:rFonts w:ascii="Arial" w:hAnsi="Arial" w:cs="Arial"/>
          <w:lang w:val="fr-CA"/>
        </w:rPr>
        <w:t xml:space="preserve"> </w:t>
      </w:r>
    </w:p>
    <w:p w14:paraId="0EC4C8BD" w14:textId="53C3B350" w:rsidR="002921A5" w:rsidRPr="00C37790" w:rsidRDefault="00A64C89" w:rsidP="007B7EA8">
      <w:pPr>
        <w:spacing w:line="276" w:lineRule="auto"/>
        <w:rPr>
          <w:rFonts w:ascii="Arial" w:hAnsi="Arial" w:cs="Arial"/>
          <w:sz w:val="24"/>
          <w:szCs w:val="24"/>
          <w:lang w:val="fr-CA"/>
        </w:rPr>
      </w:pPr>
      <w:r w:rsidRPr="00A64C89">
        <w:rPr>
          <w:rFonts w:ascii="Arial" w:hAnsi="Arial" w:cs="Arial"/>
          <w:sz w:val="24"/>
          <w:szCs w:val="24"/>
          <w:lang w:val="fr-CA"/>
        </w:rPr>
        <w:lastRenderedPageBreak/>
        <w:t>C'est pourquoi nous sommes très intéressés par le potentiel</w:t>
      </w:r>
      <w:r w:rsidR="00750E62">
        <w:rPr>
          <w:rFonts w:ascii="Arial" w:hAnsi="Arial" w:cs="Arial"/>
          <w:sz w:val="24"/>
          <w:szCs w:val="24"/>
          <w:lang w:val="fr-CA"/>
        </w:rPr>
        <w:t xml:space="preserve"> l</w:t>
      </w:r>
      <w:r w:rsidRPr="00A64C89">
        <w:rPr>
          <w:rFonts w:ascii="Arial" w:hAnsi="Arial" w:cs="Arial"/>
          <w:sz w:val="24"/>
          <w:szCs w:val="24"/>
          <w:lang w:val="fr-CA"/>
        </w:rPr>
        <w:t>es systèmes hybrides d'administration d'insuline en boucle fermée (</w:t>
      </w:r>
      <w:r>
        <w:rPr>
          <w:rFonts w:ascii="Arial" w:hAnsi="Arial" w:cs="Arial"/>
          <w:sz w:val="24"/>
          <w:szCs w:val="24"/>
          <w:lang w:val="fr-CA"/>
        </w:rPr>
        <w:t>HBF</w:t>
      </w:r>
      <w:r w:rsidRPr="00A64C89">
        <w:rPr>
          <w:rFonts w:ascii="Arial" w:hAnsi="Arial" w:cs="Arial"/>
          <w:sz w:val="24"/>
          <w:szCs w:val="24"/>
          <w:lang w:val="fr-CA"/>
        </w:rPr>
        <w:t>) comme moyen de remédier aux problèmes d'accessibilité existants et d</w:t>
      </w:r>
      <w:r>
        <w:rPr>
          <w:rFonts w:ascii="Arial" w:hAnsi="Arial" w:cs="Arial"/>
          <w:sz w:val="24"/>
          <w:szCs w:val="24"/>
          <w:lang w:val="fr-CA"/>
        </w:rPr>
        <w:t xml:space="preserve">’assurer l’autonomie et </w:t>
      </w:r>
      <w:r w:rsidRPr="00A64C89">
        <w:rPr>
          <w:rFonts w:ascii="Arial" w:hAnsi="Arial" w:cs="Arial"/>
          <w:sz w:val="24"/>
          <w:szCs w:val="24"/>
          <w:lang w:val="fr-CA"/>
        </w:rPr>
        <w:t xml:space="preserve">de meilleurs résultats de santé aux personnes vivant avec le diabète et une perte de vision, à condition que ce système soit conçu dans l'optique d'une conception et d'une accessibilité universelles et ne se contente pas de renforcer l'inaccessibilité actuelle des systèmes d'administration d'insuline. </w:t>
      </w:r>
    </w:p>
    <w:p w14:paraId="2AC97D94" w14:textId="419E06A5" w:rsidR="002921A5" w:rsidRPr="00C37790" w:rsidRDefault="00750E62" w:rsidP="00041F18">
      <w:pPr>
        <w:pStyle w:val="Heading3"/>
        <w:rPr>
          <w:rFonts w:ascii="Arial Black" w:eastAsia="Times New Roman" w:hAnsi="Arial Black"/>
          <w:bCs/>
          <w:lang w:val="fr-CA" w:eastAsia="en-CA"/>
        </w:rPr>
      </w:pPr>
      <w:r w:rsidRPr="00750E62">
        <w:rPr>
          <w:rFonts w:ascii="Arial Black" w:hAnsi="Arial Black"/>
          <w:lang w:val="fr-CA"/>
        </w:rPr>
        <w:t xml:space="preserve">Répercussions des méthodes d'administration d'insuline inaccessibles </w:t>
      </w:r>
      <w:r w:rsidR="007F1449" w:rsidRPr="00C37790">
        <w:rPr>
          <w:rFonts w:ascii="Arial Black" w:hAnsi="Arial Black"/>
          <w:lang w:val="fr-CA"/>
        </w:rPr>
        <w:t xml:space="preserve"> </w:t>
      </w:r>
    </w:p>
    <w:p w14:paraId="6C26EBE2" w14:textId="7F74BB4A" w:rsidR="000571AE" w:rsidRPr="00C37790" w:rsidRDefault="00750E62" w:rsidP="007B7EA8">
      <w:pPr>
        <w:spacing w:line="276" w:lineRule="auto"/>
        <w:rPr>
          <w:rFonts w:ascii="Arial" w:hAnsi="Arial" w:cs="Arial"/>
          <w:sz w:val="24"/>
          <w:szCs w:val="24"/>
          <w:lang w:val="fr-CA"/>
        </w:rPr>
      </w:pPr>
      <w:r w:rsidRPr="00750E62">
        <w:rPr>
          <w:rFonts w:ascii="Arial" w:hAnsi="Arial" w:cs="Arial"/>
          <w:sz w:val="24"/>
          <w:szCs w:val="24"/>
          <w:lang w:val="fr-CA"/>
        </w:rPr>
        <w:t>Bien qu</w:t>
      </w:r>
      <w:r w:rsidR="00824373">
        <w:rPr>
          <w:rFonts w:ascii="Arial" w:hAnsi="Arial" w:cs="Arial"/>
          <w:sz w:val="24"/>
          <w:szCs w:val="24"/>
          <w:lang w:val="fr-CA"/>
        </w:rPr>
        <w:t xml:space="preserve">e la Fondation </w:t>
      </w:r>
      <w:r w:rsidRPr="00750E62">
        <w:rPr>
          <w:rFonts w:ascii="Arial" w:hAnsi="Arial" w:cs="Arial"/>
          <w:sz w:val="24"/>
          <w:szCs w:val="24"/>
          <w:lang w:val="fr-CA"/>
        </w:rPr>
        <w:t xml:space="preserve">INCA n'ait pas eu l'occasion de commander de recherche sur l'accessibilité des </w:t>
      </w:r>
      <w:r w:rsidR="00A64C89">
        <w:rPr>
          <w:rFonts w:ascii="Arial" w:hAnsi="Arial" w:cs="Arial"/>
          <w:sz w:val="24"/>
          <w:szCs w:val="24"/>
          <w:lang w:val="fr-CA"/>
        </w:rPr>
        <w:t>HBF</w:t>
      </w:r>
      <w:r w:rsidR="00AC269B" w:rsidRPr="00C37790">
        <w:rPr>
          <w:rFonts w:ascii="Arial" w:hAnsi="Arial" w:cs="Arial"/>
          <w:sz w:val="24"/>
          <w:szCs w:val="24"/>
          <w:lang w:val="fr-CA"/>
        </w:rPr>
        <w:t xml:space="preserve"> </w:t>
      </w:r>
      <w:r w:rsidR="002E4C59" w:rsidRPr="002E4C59">
        <w:rPr>
          <w:rFonts w:ascii="Arial" w:hAnsi="Arial" w:cs="Arial"/>
          <w:sz w:val="24"/>
          <w:szCs w:val="24"/>
          <w:lang w:val="fr-CA"/>
        </w:rPr>
        <w:t xml:space="preserve">ou de recevoir une rétroaction directe des personnes aveugles ou ayant une </w:t>
      </w:r>
      <w:r w:rsidR="002E4C59">
        <w:rPr>
          <w:rFonts w:ascii="Arial" w:hAnsi="Arial" w:cs="Arial"/>
          <w:sz w:val="24"/>
          <w:szCs w:val="24"/>
          <w:lang w:val="fr-CA"/>
        </w:rPr>
        <w:t>vision partielle</w:t>
      </w:r>
      <w:r w:rsidR="002E4C59" w:rsidRPr="002E4C59">
        <w:rPr>
          <w:rFonts w:ascii="Arial" w:hAnsi="Arial" w:cs="Arial"/>
          <w:sz w:val="24"/>
          <w:szCs w:val="24"/>
          <w:lang w:val="fr-CA"/>
        </w:rPr>
        <w:t xml:space="preserve"> qui les utilisent, nous avons entrepris en 2020 une enquête internationale sur l'accessibilité des pompes à insuline pour les personnes vivant avec une perte de vision et le diabète. </w:t>
      </w:r>
    </w:p>
    <w:p w14:paraId="0A3FAB4E" w14:textId="37A9BD0A" w:rsidR="00D567E1" w:rsidRPr="00C37790" w:rsidRDefault="000B2D03" w:rsidP="007B7EA8">
      <w:pPr>
        <w:spacing w:line="276" w:lineRule="auto"/>
        <w:rPr>
          <w:rFonts w:ascii="Arial" w:hAnsi="Arial" w:cs="Arial"/>
          <w:sz w:val="24"/>
          <w:szCs w:val="24"/>
          <w:lang w:val="fr-CA"/>
        </w:rPr>
      </w:pPr>
      <w:r w:rsidRPr="000B2D03">
        <w:rPr>
          <w:rFonts w:ascii="Arial" w:hAnsi="Arial" w:cs="Arial"/>
          <w:sz w:val="24"/>
          <w:szCs w:val="24"/>
          <w:lang w:val="fr-CA"/>
        </w:rPr>
        <w:t xml:space="preserve">En réponse à l'une des questions de l'enquête, des personnes ont déclaré avoir des inquiétudes quant à l'administration de la bonne dose d'insuline et au fonctionnement de l'appareil </w:t>
      </w:r>
      <w:r>
        <w:rPr>
          <w:rFonts w:ascii="Arial" w:hAnsi="Arial" w:cs="Arial"/>
          <w:sz w:val="24"/>
          <w:szCs w:val="24"/>
          <w:lang w:val="fr-CA"/>
        </w:rPr>
        <w:t xml:space="preserve">lorsqu’elles sont </w:t>
      </w:r>
      <w:r w:rsidRPr="000B2D03">
        <w:rPr>
          <w:rFonts w:ascii="Arial" w:hAnsi="Arial" w:cs="Arial"/>
          <w:sz w:val="24"/>
          <w:szCs w:val="24"/>
          <w:lang w:val="fr-CA"/>
        </w:rPr>
        <w:t>seul</w:t>
      </w:r>
      <w:r>
        <w:rPr>
          <w:rFonts w:ascii="Arial" w:hAnsi="Arial" w:cs="Arial"/>
          <w:sz w:val="24"/>
          <w:szCs w:val="24"/>
          <w:lang w:val="fr-CA"/>
        </w:rPr>
        <w:t>es</w:t>
      </w:r>
      <w:r w:rsidRPr="000B2D03">
        <w:rPr>
          <w:rFonts w:ascii="Arial" w:hAnsi="Arial" w:cs="Arial"/>
          <w:sz w:val="24"/>
          <w:szCs w:val="24"/>
          <w:lang w:val="fr-CA"/>
        </w:rPr>
        <w:t xml:space="preserve">. </w:t>
      </w:r>
      <w:r w:rsidR="00A53215" w:rsidRPr="00A53215">
        <w:rPr>
          <w:rFonts w:ascii="Arial" w:hAnsi="Arial" w:cs="Arial"/>
          <w:sz w:val="24"/>
          <w:szCs w:val="24"/>
          <w:lang w:val="fr-CA"/>
        </w:rPr>
        <w:t xml:space="preserve">La plupart des personnes interrogées ont déclaré qu'elles craignaient constamment de s'infliger des préjudices corporels par inadvertance en cas d'administration incorrecte d'insuline, en raison du manque d'accessibilité de leur appareil à insuline (65 %). </w:t>
      </w:r>
    </w:p>
    <w:p w14:paraId="34DC2CE4" w14:textId="3E9D2D7D" w:rsidR="00D567E1" w:rsidRPr="00C37790" w:rsidRDefault="00A53215" w:rsidP="007B7EA8">
      <w:pPr>
        <w:spacing w:line="276" w:lineRule="auto"/>
        <w:rPr>
          <w:rFonts w:ascii="Arial" w:hAnsi="Arial" w:cs="Arial"/>
          <w:sz w:val="24"/>
          <w:szCs w:val="24"/>
          <w:lang w:val="fr-CA"/>
        </w:rPr>
      </w:pPr>
      <w:r w:rsidRPr="00A53215">
        <w:rPr>
          <w:rFonts w:ascii="Arial" w:hAnsi="Arial" w:cs="Arial"/>
          <w:sz w:val="24"/>
          <w:szCs w:val="24"/>
          <w:lang w:val="fr-CA"/>
        </w:rPr>
        <w:t>En outre, voici quelques témoignages mémorables de l'expérience des personnes interrogées</w:t>
      </w:r>
      <w:r>
        <w:rPr>
          <w:rFonts w:ascii="Arial" w:hAnsi="Arial" w:cs="Arial"/>
          <w:sz w:val="24"/>
          <w:szCs w:val="24"/>
          <w:lang w:val="fr-CA"/>
        </w:rPr>
        <w:t> :</w:t>
      </w:r>
    </w:p>
    <w:p w14:paraId="4F90F436" w14:textId="26DE30DE" w:rsidR="00D567E1" w:rsidRPr="00C37790" w:rsidRDefault="00A53215" w:rsidP="007B7EA8">
      <w:pPr>
        <w:numPr>
          <w:ilvl w:val="0"/>
          <w:numId w:val="3"/>
        </w:numPr>
        <w:tabs>
          <w:tab w:val="left" w:pos="6074"/>
        </w:tabs>
        <w:spacing w:after="200" w:line="276" w:lineRule="auto"/>
        <w:rPr>
          <w:rFonts w:ascii="Arial" w:hAnsi="Arial" w:cs="Arial"/>
          <w:sz w:val="24"/>
          <w:szCs w:val="24"/>
          <w:lang w:val="fr-CA" w:eastAsia="en-CA"/>
        </w:rPr>
      </w:pPr>
      <w:r>
        <w:rPr>
          <w:rFonts w:ascii="Arial" w:hAnsi="Arial" w:cs="Arial"/>
          <w:sz w:val="24"/>
          <w:szCs w:val="24"/>
          <w:lang w:val="fr-CA" w:eastAsia="en-CA"/>
        </w:rPr>
        <w:t>« </w:t>
      </w:r>
      <w:r w:rsidRPr="00A53215">
        <w:rPr>
          <w:rFonts w:ascii="Arial" w:hAnsi="Arial" w:cs="Arial"/>
          <w:sz w:val="24"/>
          <w:szCs w:val="24"/>
          <w:lang w:val="fr-CA" w:eastAsia="en-CA"/>
        </w:rPr>
        <w:t xml:space="preserve">Je crains actuellement de mal utiliser ma pompe à insuline et de me </w:t>
      </w:r>
      <w:r w:rsidR="00C36057">
        <w:rPr>
          <w:rFonts w:ascii="Arial" w:hAnsi="Arial" w:cs="Arial"/>
          <w:sz w:val="24"/>
          <w:szCs w:val="24"/>
          <w:lang w:val="fr-CA" w:eastAsia="en-CA"/>
        </w:rPr>
        <w:t xml:space="preserve">donner la mort </w:t>
      </w:r>
      <w:r w:rsidRPr="00A53215">
        <w:rPr>
          <w:rFonts w:ascii="Arial" w:hAnsi="Arial" w:cs="Arial"/>
          <w:sz w:val="24"/>
          <w:szCs w:val="24"/>
          <w:lang w:val="fr-CA" w:eastAsia="en-CA"/>
        </w:rPr>
        <w:t>par une surdose</w:t>
      </w:r>
      <w:r>
        <w:rPr>
          <w:rFonts w:ascii="Arial" w:hAnsi="Arial" w:cs="Arial"/>
          <w:sz w:val="24"/>
          <w:szCs w:val="24"/>
          <w:lang w:val="fr-CA" w:eastAsia="en-CA"/>
        </w:rPr>
        <w:t>. »</w:t>
      </w:r>
    </w:p>
    <w:p w14:paraId="06F59C81" w14:textId="1888113A" w:rsidR="00D567E1" w:rsidRPr="00C37790" w:rsidRDefault="00C36057" w:rsidP="007B7EA8">
      <w:pPr>
        <w:numPr>
          <w:ilvl w:val="0"/>
          <w:numId w:val="3"/>
        </w:numPr>
        <w:tabs>
          <w:tab w:val="left" w:pos="6074"/>
        </w:tabs>
        <w:spacing w:after="200" w:line="276" w:lineRule="auto"/>
        <w:rPr>
          <w:rFonts w:ascii="Arial" w:hAnsi="Arial" w:cs="Arial"/>
          <w:sz w:val="24"/>
          <w:szCs w:val="24"/>
          <w:lang w:val="fr-CA" w:eastAsia="en-CA"/>
        </w:rPr>
      </w:pPr>
      <w:r>
        <w:rPr>
          <w:rFonts w:ascii="Arial" w:hAnsi="Arial" w:cs="Arial"/>
          <w:sz w:val="24"/>
          <w:szCs w:val="24"/>
          <w:lang w:val="fr-CA" w:eastAsia="en-CA"/>
        </w:rPr>
        <w:t>« </w:t>
      </w:r>
      <w:r w:rsidRPr="00C36057">
        <w:rPr>
          <w:rFonts w:ascii="Arial" w:hAnsi="Arial" w:cs="Arial"/>
          <w:sz w:val="24"/>
          <w:szCs w:val="24"/>
          <w:lang w:val="fr-CA" w:eastAsia="en-CA"/>
        </w:rPr>
        <w:t xml:space="preserve">La possibilité d'utiliser toutes les fonctionnalités des pompes à insuline augmenterait considérablement mon niveau d'autonomie. </w:t>
      </w:r>
      <w:r w:rsidR="001E39C4" w:rsidRPr="001E39C4">
        <w:rPr>
          <w:rFonts w:ascii="Arial" w:hAnsi="Arial" w:cs="Arial"/>
          <w:sz w:val="24"/>
          <w:szCs w:val="24"/>
          <w:lang w:val="fr-CA" w:eastAsia="en-CA"/>
        </w:rPr>
        <w:t>En ce moment, je ne s</w:t>
      </w:r>
      <w:r w:rsidR="00BF373F">
        <w:rPr>
          <w:rFonts w:ascii="Arial" w:hAnsi="Arial" w:cs="Arial"/>
          <w:sz w:val="24"/>
          <w:szCs w:val="24"/>
          <w:lang w:val="fr-CA" w:eastAsia="en-CA"/>
        </w:rPr>
        <w:t>era</w:t>
      </w:r>
      <w:r w:rsidR="001E39C4" w:rsidRPr="001E39C4">
        <w:rPr>
          <w:rFonts w:ascii="Arial" w:hAnsi="Arial" w:cs="Arial"/>
          <w:sz w:val="24"/>
          <w:szCs w:val="24"/>
          <w:lang w:val="fr-CA" w:eastAsia="en-CA"/>
        </w:rPr>
        <w:t xml:space="preserve">is pas certain </w:t>
      </w:r>
      <w:r w:rsidR="00BF373F">
        <w:rPr>
          <w:rFonts w:ascii="Arial" w:hAnsi="Arial" w:cs="Arial"/>
          <w:sz w:val="24"/>
          <w:szCs w:val="24"/>
          <w:lang w:val="fr-CA" w:eastAsia="en-CA"/>
        </w:rPr>
        <w:t xml:space="preserve">que je </w:t>
      </w:r>
      <w:r w:rsidR="001E39C4" w:rsidRPr="001E39C4">
        <w:rPr>
          <w:rFonts w:ascii="Arial" w:hAnsi="Arial" w:cs="Arial"/>
          <w:sz w:val="24"/>
          <w:szCs w:val="24"/>
          <w:lang w:val="fr-CA" w:eastAsia="en-CA"/>
        </w:rPr>
        <w:t>pou</w:t>
      </w:r>
      <w:r w:rsidR="00BF373F">
        <w:rPr>
          <w:rFonts w:ascii="Arial" w:hAnsi="Arial" w:cs="Arial"/>
          <w:sz w:val="24"/>
          <w:szCs w:val="24"/>
          <w:lang w:val="fr-CA" w:eastAsia="en-CA"/>
        </w:rPr>
        <w:t>rrais</w:t>
      </w:r>
      <w:r w:rsidR="001E39C4" w:rsidRPr="001E39C4">
        <w:rPr>
          <w:rFonts w:ascii="Arial" w:hAnsi="Arial" w:cs="Arial"/>
          <w:sz w:val="24"/>
          <w:szCs w:val="24"/>
          <w:lang w:val="fr-CA" w:eastAsia="en-CA"/>
        </w:rPr>
        <w:t xml:space="preserve"> voyager, car je ne saurais pas quoi faire en cas de problème avec ma pompe.</w:t>
      </w:r>
      <w:r w:rsidR="00BF373F">
        <w:rPr>
          <w:rFonts w:ascii="Arial" w:hAnsi="Arial" w:cs="Arial"/>
          <w:sz w:val="24"/>
          <w:szCs w:val="24"/>
          <w:lang w:val="fr-CA" w:eastAsia="en-CA"/>
        </w:rPr>
        <w:t> »</w:t>
      </w:r>
    </w:p>
    <w:p w14:paraId="48F66282" w14:textId="6FE42D76" w:rsidR="005F040C" w:rsidRPr="00C37790" w:rsidRDefault="00BF373F" w:rsidP="007B7EA8">
      <w:pPr>
        <w:numPr>
          <w:ilvl w:val="0"/>
          <w:numId w:val="3"/>
        </w:numPr>
        <w:tabs>
          <w:tab w:val="left" w:pos="6074"/>
        </w:tabs>
        <w:spacing w:after="200" w:line="276" w:lineRule="auto"/>
        <w:rPr>
          <w:rFonts w:ascii="Arial" w:hAnsi="Arial" w:cs="Arial"/>
          <w:sz w:val="24"/>
          <w:szCs w:val="24"/>
          <w:lang w:val="fr-CA" w:eastAsia="en-CA"/>
        </w:rPr>
      </w:pPr>
      <w:r>
        <w:rPr>
          <w:rFonts w:ascii="Arial" w:hAnsi="Arial" w:cs="Arial"/>
          <w:sz w:val="24"/>
          <w:szCs w:val="24"/>
          <w:lang w:val="fr-CA" w:eastAsia="en-CA"/>
        </w:rPr>
        <w:t>« </w:t>
      </w:r>
      <w:r w:rsidRPr="00BF373F">
        <w:rPr>
          <w:rFonts w:ascii="Arial" w:hAnsi="Arial" w:cs="Arial"/>
          <w:sz w:val="24"/>
          <w:szCs w:val="24"/>
          <w:lang w:val="fr-CA" w:eastAsia="en-CA"/>
        </w:rPr>
        <w:t>La possibilité d'utiliser toutes les fonctionnalités des pompes à insuline me rendrait mon autonomie. Je n'aurais pas à expliquer ce qu'il fau</w:t>
      </w:r>
      <w:r>
        <w:rPr>
          <w:rFonts w:ascii="Arial" w:hAnsi="Arial" w:cs="Arial"/>
          <w:sz w:val="24"/>
          <w:szCs w:val="24"/>
          <w:lang w:val="fr-CA" w:eastAsia="en-CA"/>
        </w:rPr>
        <w:t>drai</w:t>
      </w:r>
      <w:r w:rsidRPr="00BF373F">
        <w:rPr>
          <w:rFonts w:ascii="Arial" w:hAnsi="Arial" w:cs="Arial"/>
          <w:sz w:val="24"/>
          <w:szCs w:val="24"/>
          <w:lang w:val="fr-CA" w:eastAsia="en-CA"/>
        </w:rPr>
        <w:t>t faire chaque fois que j'a</w:t>
      </w:r>
      <w:r>
        <w:rPr>
          <w:rFonts w:ascii="Arial" w:hAnsi="Arial" w:cs="Arial"/>
          <w:sz w:val="24"/>
          <w:szCs w:val="24"/>
          <w:lang w:val="fr-CA" w:eastAsia="en-CA"/>
        </w:rPr>
        <w:t>urais</w:t>
      </w:r>
      <w:r w:rsidRPr="00BF373F">
        <w:rPr>
          <w:rFonts w:ascii="Arial" w:hAnsi="Arial" w:cs="Arial"/>
          <w:sz w:val="24"/>
          <w:szCs w:val="24"/>
          <w:lang w:val="fr-CA" w:eastAsia="en-CA"/>
        </w:rPr>
        <w:t xml:space="preserve"> besoin d'aide et je ne craindrais pas que les intervenants fassent des erreurs. Je serais en mesure de </w:t>
      </w:r>
      <w:r>
        <w:rPr>
          <w:rFonts w:ascii="Arial" w:hAnsi="Arial" w:cs="Arial"/>
          <w:sz w:val="24"/>
          <w:szCs w:val="24"/>
          <w:lang w:val="fr-CA" w:eastAsia="en-CA"/>
        </w:rPr>
        <w:t xml:space="preserve">m’occuper </w:t>
      </w:r>
      <w:r w:rsidRPr="00BF373F">
        <w:rPr>
          <w:rFonts w:ascii="Arial" w:hAnsi="Arial" w:cs="Arial"/>
          <w:sz w:val="24"/>
          <w:szCs w:val="24"/>
          <w:lang w:val="fr-CA" w:eastAsia="en-CA"/>
        </w:rPr>
        <w:t>de moi</w:t>
      </w:r>
      <w:r>
        <w:rPr>
          <w:rFonts w:ascii="Arial" w:hAnsi="Arial" w:cs="Arial"/>
          <w:sz w:val="24"/>
          <w:szCs w:val="24"/>
          <w:lang w:val="fr-CA" w:eastAsia="en-CA"/>
        </w:rPr>
        <w:t>-même</w:t>
      </w:r>
      <w:r w:rsidRPr="00BF373F">
        <w:rPr>
          <w:rFonts w:ascii="Arial" w:hAnsi="Arial" w:cs="Arial"/>
          <w:sz w:val="24"/>
          <w:szCs w:val="24"/>
          <w:lang w:val="fr-CA" w:eastAsia="en-CA"/>
        </w:rPr>
        <w:t>.</w:t>
      </w:r>
      <w:r>
        <w:rPr>
          <w:rFonts w:ascii="Arial" w:hAnsi="Arial" w:cs="Arial"/>
          <w:sz w:val="24"/>
          <w:szCs w:val="24"/>
          <w:lang w:val="fr-CA" w:eastAsia="en-CA"/>
        </w:rPr>
        <w:t xml:space="preserve"> » </w:t>
      </w:r>
      <w:r w:rsidR="000571AE" w:rsidRPr="00C37790">
        <w:rPr>
          <w:rFonts w:ascii="Arial" w:hAnsi="Arial" w:cs="Arial"/>
          <w:sz w:val="24"/>
          <w:szCs w:val="24"/>
          <w:lang w:val="fr-CA"/>
        </w:rPr>
        <w:t>(</w:t>
      </w:r>
      <w:r w:rsidRPr="00BF373F">
        <w:rPr>
          <w:rFonts w:ascii="Arial" w:hAnsi="Arial" w:cs="Arial"/>
          <w:i/>
          <w:iCs/>
          <w:sz w:val="24"/>
          <w:szCs w:val="24"/>
          <w:lang w:val="fr-CA"/>
        </w:rPr>
        <w:t>Sondage sur l’accessibilité des dispositifs d’administration de l’insuline</w:t>
      </w:r>
      <w:r>
        <w:rPr>
          <w:rFonts w:ascii="Arial" w:hAnsi="Arial" w:cs="Arial"/>
          <w:i/>
          <w:iCs/>
          <w:sz w:val="24"/>
          <w:szCs w:val="24"/>
          <w:lang w:val="fr-CA"/>
        </w:rPr>
        <w:t>,</w:t>
      </w:r>
      <w:r w:rsidRPr="00BF373F">
        <w:rPr>
          <w:rFonts w:ascii="Arial" w:hAnsi="Arial" w:cs="Arial"/>
          <w:i/>
          <w:iCs/>
          <w:sz w:val="24"/>
          <w:szCs w:val="24"/>
          <w:lang w:val="fr-CA"/>
        </w:rPr>
        <w:t xml:space="preserve"> </w:t>
      </w:r>
      <w:r>
        <w:rPr>
          <w:rFonts w:ascii="Arial" w:hAnsi="Arial" w:cs="Arial"/>
          <w:i/>
          <w:iCs/>
          <w:sz w:val="24"/>
          <w:szCs w:val="24"/>
          <w:lang w:val="fr-CA"/>
        </w:rPr>
        <w:t>INCA</w:t>
      </w:r>
      <w:r w:rsidR="005F040C" w:rsidRPr="00C37790">
        <w:rPr>
          <w:rFonts w:ascii="Arial" w:hAnsi="Arial" w:cs="Arial"/>
          <w:i/>
          <w:iCs/>
          <w:sz w:val="24"/>
          <w:szCs w:val="24"/>
          <w:lang w:val="fr-CA"/>
        </w:rPr>
        <w:t>, 2020</w:t>
      </w:r>
      <w:r w:rsidR="000571AE" w:rsidRPr="00C37790">
        <w:rPr>
          <w:rFonts w:ascii="Arial" w:hAnsi="Arial" w:cs="Arial"/>
          <w:sz w:val="24"/>
          <w:szCs w:val="24"/>
          <w:lang w:val="fr-CA"/>
        </w:rPr>
        <w:t xml:space="preserve">). </w:t>
      </w:r>
    </w:p>
    <w:p w14:paraId="25F1C141" w14:textId="772BF6D6" w:rsidR="001E336C" w:rsidRPr="00C37790" w:rsidRDefault="002C41D7" w:rsidP="00041F18">
      <w:pPr>
        <w:pStyle w:val="Heading3"/>
        <w:rPr>
          <w:rFonts w:ascii="Arial Black" w:hAnsi="Arial Black"/>
          <w:bCs/>
          <w:lang w:val="fr-CA"/>
        </w:rPr>
      </w:pPr>
      <w:r w:rsidRPr="002C41D7">
        <w:rPr>
          <w:rFonts w:ascii="Arial Black" w:hAnsi="Arial Black"/>
          <w:lang w:val="fr-CA"/>
        </w:rPr>
        <w:lastRenderedPageBreak/>
        <w:t xml:space="preserve">Caractéristiques des principales études incluses - Examen clinique (3773) </w:t>
      </w:r>
    </w:p>
    <w:p w14:paraId="6FAD6557" w14:textId="77777777" w:rsidR="00CD5CC8" w:rsidRDefault="00B6398C" w:rsidP="00CD5CC8">
      <w:pPr>
        <w:shd w:val="clear" w:color="auto" w:fill="FFFFFF"/>
        <w:spacing w:line="276" w:lineRule="auto"/>
        <w:rPr>
          <w:rFonts w:ascii="Arial" w:hAnsi="Arial" w:cs="Arial"/>
          <w:sz w:val="24"/>
          <w:szCs w:val="24"/>
          <w:lang w:val="fr-CA"/>
        </w:rPr>
      </w:pPr>
      <w:r w:rsidRPr="00B6398C">
        <w:rPr>
          <w:rFonts w:ascii="Arial" w:hAnsi="Arial" w:cs="Arial"/>
          <w:sz w:val="24"/>
          <w:szCs w:val="24"/>
          <w:lang w:val="fr-CA"/>
        </w:rPr>
        <w:t xml:space="preserve">Nous constatons que dans le tableau 38 : </w:t>
      </w:r>
      <w:r w:rsidR="007D7926">
        <w:rPr>
          <w:rFonts w:ascii="Arial" w:hAnsi="Arial" w:cs="Arial"/>
          <w:sz w:val="24"/>
          <w:szCs w:val="24"/>
          <w:lang w:val="fr-CA"/>
        </w:rPr>
        <w:t>« </w:t>
      </w:r>
      <w:r w:rsidR="00980C0E" w:rsidRPr="00C37790">
        <w:rPr>
          <w:rFonts w:ascii="Arial" w:hAnsi="Arial" w:cs="Arial"/>
          <w:sz w:val="24"/>
          <w:szCs w:val="24"/>
          <w:lang w:val="fr-CA"/>
        </w:rPr>
        <w:t>Study and Patient Characteristics of Included Primary Clinical Studies</w:t>
      </w:r>
      <w:r w:rsidR="007D7926">
        <w:rPr>
          <w:rFonts w:ascii="Arial" w:hAnsi="Arial" w:cs="Arial"/>
          <w:sz w:val="24"/>
          <w:szCs w:val="24"/>
          <w:lang w:val="fr-CA"/>
        </w:rPr>
        <w:t> »</w:t>
      </w:r>
      <w:r w:rsidR="00980C0E" w:rsidRPr="00C37790">
        <w:rPr>
          <w:rFonts w:ascii="Arial" w:hAnsi="Arial" w:cs="Arial"/>
          <w:sz w:val="24"/>
          <w:szCs w:val="24"/>
          <w:lang w:val="fr-CA"/>
        </w:rPr>
        <w:t xml:space="preserve"> </w:t>
      </w:r>
      <w:r w:rsidR="007D7926">
        <w:rPr>
          <w:rFonts w:ascii="Arial" w:hAnsi="Arial" w:cs="Arial"/>
          <w:sz w:val="24"/>
          <w:szCs w:val="24"/>
          <w:lang w:val="fr-CA"/>
        </w:rPr>
        <w:t xml:space="preserve">que l’ACMTS </w:t>
      </w:r>
      <w:r w:rsidR="007D7926" w:rsidRPr="007D7926">
        <w:rPr>
          <w:rFonts w:ascii="Arial" w:hAnsi="Arial" w:cs="Arial"/>
          <w:sz w:val="24"/>
          <w:szCs w:val="24"/>
          <w:lang w:val="fr-CA"/>
        </w:rPr>
        <w:t xml:space="preserve"> mentionne </w:t>
      </w:r>
      <w:r w:rsidR="007D7926">
        <w:rPr>
          <w:rFonts w:ascii="Arial" w:hAnsi="Arial" w:cs="Arial"/>
          <w:sz w:val="24"/>
          <w:szCs w:val="24"/>
          <w:lang w:val="fr-CA"/>
        </w:rPr>
        <w:t>« </w:t>
      </w:r>
      <w:r w:rsidR="007D7926" w:rsidRPr="007D7926">
        <w:rPr>
          <w:rFonts w:ascii="Arial" w:hAnsi="Arial" w:cs="Arial"/>
          <w:sz w:val="24"/>
          <w:szCs w:val="24"/>
          <w:lang w:val="fr-CA"/>
        </w:rPr>
        <w:t>une mauvaise acuité visuelle</w:t>
      </w:r>
      <w:r w:rsidR="007D7926">
        <w:rPr>
          <w:rFonts w:ascii="Arial" w:hAnsi="Arial" w:cs="Arial"/>
          <w:sz w:val="24"/>
          <w:szCs w:val="24"/>
          <w:lang w:val="fr-CA"/>
        </w:rPr>
        <w:t> »</w:t>
      </w:r>
      <w:r w:rsidR="007D7926" w:rsidRPr="007D7926">
        <w:rPr>
          <w:rFonts w:ascii="Arial" w:hAnsi="Arial" w:cs="Arial"/>
          <w:sz w:val="24"/>
          <w:szCs w:val="24"/>
          <w:lang w:val="fr-CA"/>
        </w:rPr>
        <w:t xml:space="preserve"> comme caractéristique d'exclusion pour McAuley (2020) et </w:t>
      </w:r>
      <w:r w:rsidR="007D7926">
        <w:rPr>
          <w:rFonts w:ascii="Arial" w:hAnsi="Arial" w:cs="Arial"/>
          <w:sz w:val="24"/>
          <w:szCs w:val="24"/>
          <w:lang w:val="fr-CA"/>
        </w:rPr>
        <w:t>« </w:t>
      </w:r>
      <w:r w:rsidR="007D7926" w:rsidRPr="007D7926">
        <w:rPr>
          <w:rFonts w:ascii="Arial" w:hAnsi="Arial" w:cs="Arial"/>
          <w:sz w:val="24"/>
          <w:szCs w:val="24"/>
          <w:lang w:val="fr-CA"/>
        </w:rPr>
        <w:t>ceux qui ont des problèmes auditifs ou visuels graves et non corrigés</w:t>
      </w:r>
      <w:r w:rsidR="007D7926">
        <w:rPr>
          <w:rFonts w:ascii="Arial" w:hAnsi="Arial" w:cs="Arial"/>
          <w:sz w:val="24"/>
          <w:szCs w:val="24"/>
          <w:lang w:val="fr-CA"/>
        </w:rPr>
        <w:t> »</w:t>
      </w:r>
      <w:r w:rsidR="007D7926" w:rsidRPr="007D7926">
        <w:rPr>
          <w:rFonts w:ascii="Arial" w:hAnsi="Arial" w:cs="Arial"/>
          <w:sz w:val="24"/>
          <w:szCs w:val="24"/>
          <w:lang w:val="fr-CA"/>
        </w:rPr>
        <w:t xml:space="preserve"> pour Benhamou (2019).</w:t>
      </w:r>
      <w:r w:rsidR="007D7926">
        <w:rPr>
          <w:rFonts w:ascii="Arial" w:hAnsi="Arial" w:cs="Arial"/>
          <w:sz w:val="24"/>
          <w:szCs w:val="24"/>
          <w:lang w:val="fr-CA"/>
        </w:rPr>
        <w:t xml:space="preserve"> </w:t>
      </w:r>
      <w:r w:rsidR="00CD5CC8" w:rsidRPr="00CD5CC8">
        <w:rPr>
          <w:rFonts w:ascii="Arial" w:hAnsi="Arial" w:cs="Arial"/>
          <w:sz w:val="24"/>
          <w:szCs w:val="24"/>
          <w:lang w:val="fr-CA"/>
        </w:rPr>
        <w:t xml:space="preserve">Les raisons de l'exclusion des participants ayant une basse vision des études sont soit inexistantes (aucune mention n'est faite dans les critères d'exclusion d'une étude), soit basées sur la méthodologie (c'est-à-dire basées sur la méthode de collecte des données dans l'autre étude - sans aucune preuve que les auteurs aient tenté des solutions d'accessibilité). Le risque de biais est important, car il n'y a aucune raison valable d'exclure une population importante de personnes qui sont à la fois diabétiques et ayant une </w:t>
      </w:r>
      <w:r w:rsidR="00CD5CC8">
        <w:rPr>
          <w:rFonts w:ascii="Arial" w:hAnsi="Arial" w:cs="Arial"/>
          <w:sz w:val="24"/>
          <w:szCs w:val="24"/>
          <w:lang w:val="fr-CA"/>
        </w:rPr>
        <w:t>perte de vision</w:t>
      </w:r>
      <w:r w:rsidR="00CD5CC8" w:rsidRPr="00CD5CC8">
        <w:rPr>
          <w:rFonts w:ascii="Arial" w:hAnsi="Arial" w:cs="Arial"/>
          <w:sz w:val="24"/>
          <w:szCs w:val="24"/>
          <w:lang w:val="fr-CA"/>
        </w:rPr>
        <w:t xml:space="preserve">. </w:t>
      </w:r>
    </w:p>
    <w:p w14:paraId="579FF0CC" w14:textId="0DBDED72" w:rsidR="002921A5" w:rsidRPr="00C37790" w:rsidRDefault="00CD5CC8" w:rsidP="00CD5CC8">
      <w:pPr>
        <w:shd w:val="clear" w:color="auto" w:fill="FFFFFF"/>
        <w:spacing w:line="276" w:lineRule="auto"/>
        <w:rPr>
          <w:rFonts w:ascii="Arial" w:eastAsia="Times New Roman" w:hAnsi="Arial" w:cs="Arial"/>
          <w:color w:val="000000"/>
          <w:sz w:val="24"/>
          <w:szCs w:val="24"/>
          <w:lang w:val="fr-CA"/>
        </w:rPr>
      </w:pPr>
      <w:r w:rsidRPr="00CD5CC8">
        <w:rPr>
          <w:rFonts w:ascii="Arial" w:eastAsia="Times New Roman" w:hAnsi="Arial" w:cs="Arial"/>
          <w:color w:val="000000"/>
          <w:sz w:val="24"/>
          <w:szCs w:val="24"/>
          <w:lang w:val="fr-CA"/>
        </w:rPr>
        <w:t>Les personnes ayant une perte de vision représentent environ 5 % de la population canadienne</w:t>
      </w:r>
      <w:r w:rsidR="0008118A" w:rsidRPr="00C37790">
        <w:rPr>
          <w:rFonts w:ascii="Arial" w:eastAsia="Times New Roman" w:hAnsi="Arial" w:cs="Arial"/>
          <w:color w:val="000000"/>
          <w:sz w:val="24"/>
          <w:szCs w:val="24"/>
          <w:lang w:val="fr-CA"/>
        </w:rPr>
        <w:t xml:space="preserve"> (</w:t>
      </w:r>
      <w:r w:rsidRPr="00CD5CC8">
        <w:rPr>
          <w:rFonts w:ascii="Arial" w:eastAsia="Times New Roman" w:hAnsi="Arial" w:cs="Arial"/>
          <w:i/>
          <w:iCs/>
          <w:color w:val="000000"/>
          <w:sz w:val="24"/>
          <w:szCs w:val="24"/>
          <w:lang w:val="fr-CA"/>
        </w:rPr>
        <w:t>Enquête canadienne sur l'incapacité, 2017</w:t>
      </w:r>
      <w:r w:rsidR="0008118A" w:rsidRPr="00C37790">
        <w:rPr>
          <w:rFonts w:ascii="Arial" w:eastAsia="Times New Roman" w:hAnsi="Arial" w:cs="Arial"/>
          <w:color w:val="000000"/>
          <w:sz w:val="24"/>
          <w:szCs w:val="24"/>
          <w:lang w:val="fr-CA"/>
        </w:rPr>
        <w:t xml:space="preserve">), </w:t>
      </w:r>
      <w:r w:rsidRPr="00CD5CC8">
        <w:rPr>
          <w:rFonts w:ascii="Arial" w:eastAsia="Times New Roman" w:hAnsi="Arial" w:cs="Arial"/>
          <w:color w:val="000000"/>
          <w:sz w:val="24"/>
          <w:szCs w:val="24"/>
          <w:lang w:val="fr-CA"/>
        </w:rPr>
        <w:t>ce qui est un pourcentage non négligeable.</w:t>
      </w:r>
      <w:r w:rsidR="0008118A" w:rsidRPr="00C37790">
        <w:rPr>
          <w:rFonts w:ascii="Arial" w:eastAsia="Times New Roman" w:hAnsi="Arial" w:cs="Arial"/>
          <w:color w:val="000000"/>
          <w:sz w:val="24"/>
          <w:szCs w:val="24"/>
          <w:lang w:val="fr-CA"/>
        </w:rPr>
        <w:t xml:space="preserve"> </w:t>
      </w:r>
      <w:r w:rsidR="004C744B" w:rsidRPr="004C744B">
        <w:rPr>
          <w:rFonts w:ascii="Arial" w:eastAsia="Times New Roman" w:hAnsi="Arial" w:cs="Arial"/>
          <w:color w:val="000000"/>
          <w:sz w:val="24"/>
          <w:szCs w:val="24"/>
          <w:lang w:val="fr-CA"/>
        </w:rPr>
        <w:t>L'exclusion de ce groupe des études dont les résultats visés leur sont directement ou indirectement bénéfiques est problématique, et de nombreuses études présentent un biais méthodologique ou attitudinal dans ce domaine.</w:t>
      </w:r>
      <w:r w:rsidR="004C744B">
        <w:rPr>
          <w:rFonts w:ascii="Arial" w:eastAsia="Times New Roman" w:hAnsi="Arial" w:cs="Arial"/>
          <w:color w:val="000000"/>
          <w:sz w:val="24"/>
          <w:szCs w:val="24"/>
          <w:lang w:val="fr-CA"/>
        </w:rPr>
        <w:t xml:space="preserve"> </w:t>
      </w:r>
      <w:r w:rsidR="004C744B" w:rsidRPr="004C744B">
        <w:rPr>
          <w:rFonts w:ascii="Arial" w:eastAsia="Times New Roman" w:hAnsi="Arial" w:cs="Arial"/>
          <w:color w:val="000000"/>
          <w:sz w:val="24"/>
          <w:szCs w:val="24"/>
          <w:lang w:val="fr-CA"/>
        </w:rPr>
        <w:t>Souvent, les besoins d'accessibilité de cette population ne sont pas pris en compte dans la conception des produits, et les chercheurs ne tiennent pas compte de l'accessibilité dans leur méthodologie et leurs approches de collecte de données.</w:t>
      </w:r>
      <w:r w:rsidR="004C744B">
        <w:rPr>
          <w:rFonts w:ascii="Arial" w:eastAsia="Times New Roman" w:hAnsi="Arial" w:cs="Arial"/>
          <w:color w:val="000000"/>
          <w:sz w:val="24"/>
          <w:szCs w:val="24"/>
          <w:lang w:val="fr-CA"/>
        </w:rPr>
        <w:t xml:space="preserve"> </w:t>
      </w:r>
      <w:r w:rsidR="004C744B" w:rsidRPr="004C744B">
        <w:rPr>
          <w:rFonts w:ascii="Arial" w:eastAsia="Times New Roman" w:hAnsi="Arial" w:cs="Arial"/>
          <w:color w:val="000000"/>
          <w:sz w:val="24"/>
          <w:szCs w:val="24"/>
          <w:lang w:val="fr-CA"/>
        </w:rPr>
        <w:t>En conséquence, les résultats de l'étude sont soit destinés à bénéficier aux personnes ayant une perte de vision</w:t>
      </w:r>
      <w:r w:rsidR="004C744B">
        <w:rPr>
          <w:rFonts w:ascii="Arial" w:eastAsia="Times New Roman" w:hAnsi="Arial" w:cs="Arial"/>
          <w:color w:val="000000"/>
          <w:sz w:val="24"/>
          <w:szCs w:val="24"/>
          <w:lang w:val="fr-CA"/>
        </w:rPr>
        <w:t>,</w:t>
      </w:r>
      <w:r w:rsidR="004C744B" w:rsidRPr="004C744B">
        <w:rPr>
          <w:rFonts w:ascii="Arial" w:eastAsia="Times New Roman" w:hAnsi="Arial" w:cs="Arial"/>
          <w:color w:val="000000"/>
          <w:sz w:val="24"/>
          <w:szCs w:val="24"/>
          <w:lang w:val="fr-CA"/>
        </w:rPr>
        <w:t xml:space="preserve"> mais ne peuvent pas être validés dans cette population compte tenu des preuves disponibles, soit les résultats de l'étude excluent carrément les personnes ayant une perte de vision.  </w:t>
      </w:r>
    </w:p>
    <w:p w14:paraId="6A8B31CE" w14:textId="09B2954E" w:rsidR="000571AE" w:rsidRPr="00C37790" w:rsidRDefault="004C744B" w:rsidP="00041F18">
      <w:pPr>
        <w:pStyle w:val="Heading3"/>
        <w:rPr>
          <w:rFonts w:ascii="Arial Black" w:hAnsi="Arial Black"/>
          <w:lang w:val="fr-CA"/>
        </w:rPr>
      </w:pPr>
      <w:r w:rsidRPr="004C744B">
        <w:rPr>
          <w:rFonts w:ascii="Arial Black" w:hAnsi="Arial Black"/>
          <w:lang w:val="fr-CA"/>
        </w:rPr>
        <w:t xml:space="preserve">Accompagnement et soutien des patients (2990-3023) </w:t>
      </w:r>
      <w:r w:rsidR="000571AE" w:rsidRPr="00C37790">
        <w:rPr>
          <w:rFonts w:ascii="Arial Black" w:hAnsi="Arial Black"/>
          <w:lang w:val="fr-CA"/>
        </w:rPr>
        <w:t xml:space="preserve"> </w:t>
      </w:r>
    </w:p>
    <w:p w14:paraId="7902A2AB" w14:textId="16EECCAE" w:rsidR="000571AE" w:rsidRPr="00C37790" w:rsidRDefault="004C744B" w:rsidP="007B7EA8">
      <w:pPr>
        <w:spacing w:after="0" w:line="276" w:lineRule="auto"/>
        <w:rPr>
          <w:rFonts w:ascii="Arial" w:hAnsi="Arial" w:cs="Arial"/>
          <w:sz w:val="24"/>
          <w:szCs w:val="24"/>
          <w:lang w:val="fr-CA" w:eastAsia="en-CA"/>
        </w:rPr>
      </w:pPr>
      <w:r w:rsidRPr="004C744B">
        <w:rPr>
          <w:rFonts w:ascii="Arial" w:hAnsi="Arial" w:cs="Arial"/>
          <w:sz w:val="24"/>
          <w:szCs w:val="24"/>
          <w:lang w:val="fr-CA" w:eastAsia="en-CA"/>
        </w:rPr>
        <w:t>INCA a été informé qu'on déconseillait aux personnes ayant une perte de vision d'utiliser des pompes à insuline. En réponse, nous avons conçu des questions de recherche pour notre sondage sur l'accessibilité des appareils à insuline afin d'approfondir ce sujet.</w:t>
      </w:r>
      <w:r>
        <w:rPr>
          <w:rFonts w:ascii="Arial" w:hAnsi="Arial" w:cs="Arial"/>
          <w:sz w:val="24"/>
          <w:szCs w:val="24"/>
          <w:lang w:val="fr-CA" w:eastAsia="en-CA"/>
        </w:rPr>
        <w:t xml:space="preserve"> </w:t>
      </w:r>
    </w:p>
    <w:p w14:paraId="75277D78" w14:textId="77777777" w:rsidR="000571AE" w:rsidRPr="00C37790" w:rsidRDefault="000571AE" w:rsidP="007B7EA8">
      <w:pPr>
        <w:spacing w:after="0" w:line="276" w:lineRule="auto"/>
        <w:rPr>
          <w:rFonts w:ascii="Arial" w:hAnsi="Arial" w:cs="Arial"/>
          <w:sz w:val="24"/>
          <w:szCs w:val="24"/>
          <w:lang w:val="fr-CA" w:eastAsia="en-CA"/>
        </w:rPr>
      </w:pPr>
    </w:p>
    <w:p w14:paraId="07054E79" w14:textId="07985D10" w:rsidR="000571AE" w:rsidRPr="00C37790" w:rsidRDefault="004C744B" w:rsidP="007B7EA8">
      <w:pPr>
        <w:spacing w:line="276" w:lineRule="auto"/>
        <w:rPr>
          <w:rFonts w:ascii="Arial" w:hAnsi="Arial" w:cs="Arial"/>
          <w:sz w:val="24"/>
          <w:szCs w:val="24"/>
          <w:lang w:val="fr-CA" w:eastAsia="en-CA"/>
        </w:rPr>
      </w:pPr>
      <w:r w:rsidRPr="004C744B">
        <w:rPr>
          <w:rFonts w:ascii="Arial" w:hAnsi="Arial" w:cs="Arial"/>
          <w:sz w:val="24"/>
          <w:szCs w:val="24"/>
          <w:lang w:val="fr-CA" w:eastAsia="en-CA"/>
        </w:rPr>
        <w:t xml:space="preserve">Environ 20 % des personnes ayant répondu à cette série de questions ont déclaré qu'on leur avait déconseillé d'utiliser une pompe à insuline à un moment donné de leur vie. On leur a dit que les écrans d'affichage n'étaient pas assez accessibles pour eux (48 %), qu'ils ne seraient pas capables de faire fonctionner l'appareil seuls (29 %) et que l'absence de mécanismes de rétroaction alternatifs aux écrans d'affichage de l'appareil, tels que la rétroaction tactile et sonore, rendrait l'appareil inutilisable (24 %). </w:t>
      </w:r>
    </w:p>
    <w:p w14:paraId="078A716F" w14:textId="4AB30F19" w:rsidR="001E336C" w:rsidRPr="00C37790" w:rsidRDefault="00281B2C" w:rsidP="007B7EA8">
      <w:pPr>
        <w:spacing w:line="276" w:lineRule="auto"/>
        <w:rPr>
          <w:rFonts w:ascii="Arial" w:hAnsi="Arial" w:cs="Arial"/>
          <w:sz w:val="24"/>
          <w:szCs w:val="24"/>
          <w:lang w:val="fr-CA"/>
        </w:rPr>
      </w:pPr>
      <w:r w:rsidRPr="00281B2C">
        <w:rPr>
          <w:rFonts w:ascii="Arial" w:hAnsi="Arial" w:cs="Arial"/>
          <w:sz w:val="24"/>
          <w:szCs w:val="24"/>
          <w:lang w:val="fr-CA" w:eastAsia="en-CA"/>
        </w:rPr>
        <w:lastRenderedPageBreak/>
        <w:t>Les sources qui déconseillent l'utilisation des pompes à insuline sont les fabricants de pompes (30 %), les infirmières spécialisées dans l'utilisation des pompes (21 %), les endocrinologues (21 %) et les sites Web des organismes de santé (8 %)</w:t>
      </w:r>
      <w:r>
        <w:rPr>
          <w:rFonts w:ascii="Arial" w:hAnsi="Arial" w:cs="Arial"/>
          <w:sz w:val="24"/>
          <w:szCs w:val="24"/>
          <w:lang w:val="fr-CA" w:eastAsia="en-CA"/>
        </w:rPr>
        <w:t xml:space="preserve">. </w:t>
      </w:r>
      <w:r w:rsidR="000D3EAD" w:rsidRPr="00C37790">
        <w:rPr>
          <w:rFonts w:ascii="Arial" w:hAnsi="Arial" w:cs="Arial"/>
          <w:sz w:val="24"/>
          <w:szCs w:val="24"/>
          <w:lang w:val="fr-CA"/>
        </w:rPr>
        <w:t>(</w:t>
      </w:r>
      <w:r w:rsidRPr="00281B2C">
        <w:rPr>
          <w:rFonts w:ascii="Arial" w:hAnsi="Arial" w:cs="Arial"/>
          <w:i/>
          <w:iCs/>
          <w:sz w:val="24"/>
          <w:szCs w:val="24"/>
          <w:lang w:val="fr-CA"/>
        </w:rPr>
        <w:t>Sondage sur l’accessibilité des dispositifs d’administration de l’insuline</w:t>
      </w:r>
      <w:r>
        <w:rPr>
          <w:rFonts w:ascii="Arial" w:hAnsi="Arial" w:cs="Arial"/>
          <w:i/>
          <w:iCs/>
          <w:sz w:val="24"/>
          <w:szCs w:val="24"/>
          <w:lang w:val="fr-CA"/>
        </w:rPr>
        <w:t>,</w:t>
      </w:r>
      <w:r w:rsidRPr="00281B2C">
        <w:rPr>
          <w:rFonts w:ascii="Arial" w:hAnsi="Arial" w:cs="Arial"/>
          <w:i/>
          <w:iCs/>
          <w:sz w:val="24"/>
          <w:szCs w:val="24"/>
          <w:lang w:val="fr-CA"/>
        </w:rPr>
        <w:t xml:space="preserve"> </w:t>
      </w:r>
      <w:r>
        <w:rPr>
          <w:rFonts w:ascii="Arial" w:hAnsi="Arial" w:cs="Arial"/>
          <w:i/>
          <w:iCs/>
          <w:sz w:val="24"/>
          <w:szCs w:val="24"/>
          <w:lang w:val="fr-CA"/>
        </w:rPr>
        <w:t>INCA</w:t>
      </w:r>
      <w:r w:rsidR="000D3EAD" w:rsidRPr="00C37790">
        <w:rPr>
          <w:rFonts w:ascii="Arial" w:hAnsi="Arial" w:cs="Arial"/>
          <w:i/>
          <w:iCs/>
          <w:sz w:val="24"/>
          <w:szCs w:val="24"/>
          <w:lang w:val="fr-CA"/>
        </w:rPr>
        <w:t xml:space="preserve"> 2020</w:t>
      </w:r>
      <w:r w:rsidR="000D3EAD" w:rsidRPr="00C37790">
        <w:rPr>
          <w:rFonts w:ascii="Arial" w:hAnsi="Arial" w:cs="Arial"/>
          <w:sz w:val="24"/>
          <w:szCs w:val="24"/>
          <w:lang w:val="fr-CA"/>
        </w:rPr>
        <w:t>).</w:t>
      </w:r>
    </w:p>
    <w:p w14:paraId="3F0EC458" w14:textId="3C409308" w:rsidR="000D3EAD" w:rsidRPr="00C37790" w:rsidRDefault="00281B2C" w:rsidP="007B7EA8">
      <w:pPr>
        <w:spacing w:line="276" w:lineRule="auto"/>
        <w:rPr>
          <w:rFonts w:ascii="Arial" w:hAnsi="Arial" w:cs="Arial"/>
          <w:sz w:val="24"/>
          <w:szCs w:val="24"/>
          <w:lang w:val="fr-CA"/>
        </w:rPr>
      </w:pPr>
      <w:r w:rsidRPr="00281B2C">
        <w:rPr>
          <w:rFonts w:ascii="Arial" w:hAnsi="Arial" w:cs="Arial"/>
          <w:sz w:val="24"/>
          <w:szCs w:val="24"/>
          <w:lang w:val="fr-CA"/>
        </w:rPr>
        <w:t>De plus, nous avons reçu des commentaires de personnes vivant avec le diabète et une perte de vision selon lesquels les manuels de leurs pompes à insuline et de leurs glucomètres n'arrivent pas dans un format numérique ou papier accessible, ce qui crée des obstacles pour les p</w:t>
      </w:r>
      <w:r w:rsidR="00E9018A">
        <w:rPr>
          <w:rFonts w:ascii="Arial" w:hAnsi="Arial" w:cs="Arial"/>
          <w:sz w:val="24"/>
          <w:szCs w:val="24"/>
          <w:lang w:val="fr-CA"/>
        </w:rPr>
        <w:t xml:space="preserve">ersonnes </w:t>
      </w:r>
      <w:r w:rsidRPr="00281B2C">
        <w:rPr>
          <w:rFonts w:ascii="Arial" w:hAnsi="Arial" w:cs="Arial"/>
          <w:sz w:val="24"/>
          <w:szCs w:val="24"/>
          <w:lang w:val="fr-CA"/>
        </w:rPr>
        <w:t xml:space="preserve">qui veulent se familiariser avec leur appareil ou résoudre des problèmes mineurs lorsqu'ils surviennent. Il va sans dire que tout matériel élaboré concernant les systèmes </w:t>
      </w:r>
      <w:r w:rsidR="00A64C89">
        <w:rPr>
          <w:rFonts w:ascii="Arial" w:hAnsi="Arial" w:cs="Arial"/>
          <w:sz w:val="24"/>
          <w:szCs w:val="24"/>
          <w:lang w:val="fr-CA"/>
        </w:rPr>
        <w:t>HBF</w:t>
      </w:r>
      <w:r w:rsidR="00860A11" w:rsidRPr="00C37790">
        <w:rPr>
          <w:rFonts w:ascii="Arial" w:hAnsi="Arial" w:cs="Arial"/>
          <w:sz w:val="24"/>
          <w:szCs w:val="24"/>
          <w:lang w:val="fr-CA"/>
        </w:rPr>
        <w:t xml:space="preserve"> </w:t>
      </w:r>
      <w:r w:rsidR="00E9018A" w:rsidRPr="00E9018A">
        <w:rPr>
          <w:rFonts w:ascii="Arial" w:hAnsi="Arial" w:cs="Arial"/>
          <w:sz w:val="24"/>
          <w:szCs w:val="24"/>
          <w:lang w:val="fr-CA"/>
        </w:rPr>
        <w:t xml:space="preserve">doit être entièrement accessible. </w:t>
      </w:r>
      <w:r w:rsidR="00860A11" w:rsidRPr="00C37790">
        <w:rPr>
          <w:rFonts w:ascii="Arial" w:hAnsi="Arial" w:cs="Arial"/>
          <w:sz w:val="24"/>
          <w:szCs w:val="24"/>
          <w:lang w:val="fr-CA"/>
        </w:rPr>
        <w:t xml:space="preserve"> </w:t>
      </w:r>
    </w:p>
    <w:p w14:paraId="5BCC01DF" w14:textId="7BDA498A" w:rsidR="00F15760" w:rsidRPr="00C37790" w:rsidRDefault="00E9018A" w:rsidP="00041F18">
      <w:pPr>
        <w:pStyle w:val="Heading3"/>
        <w:rPr>
          <w:rFonts w:ascii="Arial Black" w:hAnsi="Arial Black"/>
          <w:lang w:val="fr-CA"/>
        </w:rPr>
      </w:pPr>
      <w:r w:rsidRPr="00E9018A">
        <w:rPr>
          <w:rFonts w:ascii="Arial Black" w:hAnsi="Arial Black"/>
          <w:lang w:val="fr-CA"/>
        </w:rPr>
        <w:t xml:space="preserve">Confidentialité et sécurité (3024) </w:t>
      </w:r>
      <w:r w:rsidR="00F15760" w:rsidRPr="00C37790">
        <w:rPr>
          <w:rFonts w:ascii="Arial Black" w:hAnsi="Arial Black"/>
          <w:lang w:val="fr-CA"/>
        </w:rPr>
        <w:t xml:space="preserve">  </w:t>
      </w:r>
    </w:p>
    <w:p w14:paraId="2D1ADBAD" w14:textId="568F3DE9" w:rsidR="00F15760" w:rsidRPr="00C37790" w:rsidRDefault="00E9018A" w:rsidP="007B7EA8">
      <w:pPr>
        <w:spacing w:line="276" w:lineRule="auto"/>
        <w:rPr>
          <w:rFonts w:ascii="Arial" w:hAnsi="Arial" w:cs="Arial"/>
          <w:sz w:val="24"/>
          <w:szCs w:val="24"/>
          <w:lang w:val="fr-CA"/>
        </w:rPr>
      </w:pPr>
      <w:r w:rsidRPr="00E9018A">
        <w:rPr>
          <w:rFonts w:ascii="Arial" w:hAnsi="Arial" w:cs="Arial"/>
          <w:sz w:val="24"/>
          <w:szCs w:val="24"/>
          <w:lang w:val="fr-CA"/>
        </w:rPr>
        <w:t xml:space="preserve">Nous reconnaissons que les préoccupations concernant le piratage du système </w:t>
      </w:r>
      <w:r w:rsidR="00A64C89">
        <w:rPr>
          <w:rFonts w:ascii="Arial" w:hAnsi="Arial" w:cs="Arial"/>
          <w:sz w:val="24"/>
          <w:szCs w:val="24"/>
          <w:lang w:val="fr-CA"/>
        </w:rPr>
        <w:t>HBF</w:t>
      </w:r>
      <w:r w:rsidR="00FF6C48" w:rsidRPr="00C37790">
        <w:rPr>
          <w:rFonts w:ascii="Arial" w:hAnsi="Arial" w:cs="Arial"/>
          <w:sz w:val="24"/>
          <w:szCs w:val="24"/>
          <w:lang w:val="fr-CA"/>
        </w:rPr>
        <w:t xml:space="preserve"> </w:t>
      </w:r>
      <w:r w:rsidRPr="00E9018A">
        <w:rPr>
          <w:rFonts w:ascii="Arial" w:hAnsi="Arial" w:cs="Arial"/>
          <w:sz w:val="24"/>
          <w:szCs w:val="24"/>
          <w:lang w:val="fr-CA"/>
        </w:rPr>
        <w:t xml:space="preserve">d'une personne et sa neutralisation par un tiers malveillant constituent une menace réelle pour </w:t>
      </w:r>
      <w:r>
        <w:rPr>
          <w:rFonts w:ascii="Arial" w:hAnsi="Arial" w:cs="Arial"/>
          <w:sz w:val="24"/>
          <w:szCs w:val="24"/>
          <w:lang w:val="fr-CA"/>
        </w:rPr>
        <w:t>sa</w:t>
      </w:r>
      <w:r w:rsidRPr="00E9018A">
        <w:rPr>
          <w:rFonts w:ascii="Arial" w:hAnsi="Arial" w:cs="Arial"/>
          <w:sz w:val="24"/>
          <w:szCs w:val="24"/>
          <w:lang w:val="fr-CA"/>
        </w:rPr>
        <w:t xml:space="preserve"> santé et </w:t>
      </w:r>
      <w:r>
        <w:rPr>
          <w:rFonts w:ascii="Arial" w:hAnsi="Arial" w:cs="Arial"/>
          <w:sz w:val="24"/>
          <w:szCs w:val="24"/>
          <w:lang w:val="fr-CA"/>
        </w:rPr>
        <w:t>s</w:t>
      </w:r>
      <w:r w:rsidRPr="00E9018A">
        <w:rPr>
          <w:rFonts w:ascii="Arial" w:hAnsi="Arial" w:cs="Arial"/>
          <w:sz w:val="24"/>
          <w:szCs w:val="24"/>
          <w:lang w:val="fr-CA"/>
        </w:rPr>
        <w:t>a sécurité</w:t>
      </w:r>
      <w:r w:rsidR="00FF6C48" w:rsidRPr="00C37790">
        <w:rPr>
          <w:rFonts w:ascii="Arial" w:hAnsi="Arial" w:cs="Arial"/>
          <w:sz w:val="24"/>
          <w:szCs w:val="24"/>
          <w:lang w:val="fr-CA"/>
        </w:rPr>
        <w:t xml:space="preserve">. </w:t>
      </w:r>
      <w:r w:rsidRPr="00E9018A">
        <w:rPr>
          <w:rFonts w:ascii="Arial" w:hAnsi="Arial" w:cs="Arial"/>
          <w:sz w:val="24"/>
          <w:szCs w:val="24"/>
          <w:lang w:val="fr-CA"/>
        </w:rPr>
        <w:t xml:space="preserve">Toutefois, nous avons également constaté que des modèles plus récents de pompes à insuline sont équipés de fonctions de sécurité supplémentaires uniquement visuelles, par exemple, une personne doit appuyer sur des boutons dans un certain ordre en fonction de repères visuels à l'écran afin de déverrouiller sa pompe à insuline. Certains utilisateurs sont donc désormais incapables de déverrouiller leur pompe à insuline et doivent revenir à des modèles plus anciens dépourvus de cette fonction logicielle. </w:t>
      </w:r>
    </w:p>
    <w:p w14:paraId="6F2706DA" w14:textId="05A8A5E4" w:rsidR="00FF6C48" w:rsidRPr="00C37790" w:rsidRDefault="00E34A20" w:rsidP="007B7EA8">
      <w:pPr>
        <w:spacing w:line="276" w:lineRule="auto"/>
        <w:rPr>
          <w:rFonts w:ascii="Arial" w:hAnsi="Arial" w:cs="Arial"/>
          <w:sz w:val="24"/>
          <w:szCs w:val="24"/>
          <w:lang w:val="fr-CA"/>
        </w:rPr>
      </w:pPr>
      <w:r w:rsidRPr="00E34A20">
        <w:rPr>
          <w:rFonts w:ascii="Arial" w:hAnsi="Arial" w:cs="Arial"/>
          <w:sz w:val="24"/>
          <w:szCs w:val="24"/>
          <w:lang w:val="fr-CA"/>
        </w:rPr>
        <w:t>Si ces décisions sont souvent bien intentionnées pour protéger la sécurité de l'utilisateur final, elles créent involontairement des obstacles à l'accessibilité et peuvent finalement rendre un dispositif inutilisable. Tout dispositif de sécurité conçu pour les</w:t>
      </w:r>
      <w:r>
        <w:rPr>
          <w:rFonts w:ascii="Arial" w:hAnsi="Arial" w:cs="Arial"/>
          <w:sz w:val="24"/>
          <w:szCs w:val="24"/>
          <w:lang w:val="fr-CA"/>
        </w:rPr>
        <w:t xml:space="preserve"> systèmes </w:t>
      </w:r>
      <w:r w:rsidR="00A64C89">
        <w:rPr>
          <w:rFonts w:ascii="Arial" w:hAnsi="Arial" w:cs="Arial"/>
          <w:sz w:val="24"/>
          <w:szCs w:val="24"/>
          <w:lang w:val="fr-CA"/>
        </w:rPr>
        <w:t>HBF</w:t>
      </w:r>
      <w:r w:rsidR="00FF6C48" w:rsidRPr="00C37790">
        <w:rPr>
          <w:rFonts w:ascii="Arial" w:hAnsi="Arial" w:cs="Arial"/>
          <w:sz w:val="24"/>
          <w:szCs w:val="24"/>
          <w:lang w:val="fr-CA"/>
        </w:rPr>
        <w:t xml:space="preserve"> </w:t>
      </w:r>
      <w:r w:rsidRPr="00E34A20">
        <w:rPr>
          <w:rFonts w:ascii="Arial" w:hAnsi="Arial" w:cs="Arial"/>
          <w:sz w:val="24"/>
          <w:szCs w:val="24"/>
          <w:lang w:val="fr-CA"/>
        </w:rPr>
        <w:t xml:space="preserve">doit intégrer une conception accessible et garantir qu'il ne verrouille pas la personne même qu'il est censé protéger. </w:t>
      </w:r>
    </w:p>
    <w:p w14:paraId="25ED90B1" w14:textId="0AEB99BE" w:rsidR="00760024" w:rsidRPr="00C37790" w:rsidRDefault="00E34A20" w:rsidP="007B7EA8">
      <w:pPr>
        <w:spacing w:line="276" w:lineRule="auto"/>
        <w:rPr>
          <w:rFonts w:ascii="Arial" w:hAnsi="Arial" w:cs="Arial"/>
          <w:sz w:val="24"/>
          <w:szCs w:val="24"/>
          <w:lang w:val="fr-CA"/>
        </w:rPr>
      </w:pPr>
      <w:r w:rsidRPr="00E34A20">
        <w:rPr>
          <w:rFonts w:ascii="Arial" w:hAnsi="Arial" w:cs="Arial"/>
          <w:sz w:val="24"/>
          <w:szCs w:val="24"/>
          <w:lang w:val="fr-CA"/>
        </w:rPr>
        <w:t>De plus, toutes les données produites par un dispositif</w:t>
      </w:r>
      <w:r w:rsidR="00860A11" w:rsidRPr="00C37790">
        <w:rPr>
          <w:rFonts w:ascii="Arial" w:hAnsi="Arial" w:cs="Arial"/>
          <w:sz w:val="24"/>
          <w:szCs w:val="24"/>
          <w:lang w:val="fr-CA"/>
        </w:rPr>
        <w:t xml:space="preserve"> </w:t>
      </w:r>
      <w:r w:rsidR="00A64C89">
        <w:rPr>
          <w:rFonts w:ascii="Arial" w:hAnsi="Arial" w:cs="Arial"/>
          <w:sz w:val="24"/>
          <w:szCs w:val="24"/>
          <w:lang w:val="fr-CA"/>
        </w:rPr>
        <w:t>HBF</w:t>
      </w:r>
      <w:r w:rsidR="00760024" w:rsidRPr="00C37790">
        <w:rPr>
          <w:rFonts w:ascii="Arial" w:hAnsi="Arial" w:cs="Arial"/>
          <w:sz w:val="24"/>
          <w:szCs w:val="24"/>
          <w:lang w:val="fr-CA"/>
        </w:rPr>
        <w:t xml:space="preserve"> </w:t>
      </w:r>
      <w:r w:rsidRPr="00E34A20">
        <w:rPr>
          <w:rFonts w:ascii="Arial" w:hAnsi="Arial" w:cs="Arial"/>
          <w:sz w:val="24"/>
          <w:szCs w:val="24"/>
          <w:lang w:val="fr-CA"/>
        </w:rPr>
        <w:t xml:space="preserve">doivent être facilement disponibles pour la personne concernée dans un format accessible, afin qu'elle ait un accès égal à ses informations de santé et qu'elle ait le choix de les divulguer ou non.  </w:t>
      </w:r>
    </w:p>
    <w:p w14:paraId="159BE1A8" w14:textId="3F3F80AA" w:rsidR="00B62C82" w:rsidRPr="00C37790" w:rsidRDefault="00B62C82" w:rsidP="00041F18">
      <w:pPr>
        <w:pStyle w:val="Heading3"/>
        <w:rPr>
          <w:rFonts w:ascii="Arial Black" w:hAnsi="Arial Black"/>
          <w:lang w:val="fr-CA"/>
        </w:rPr>
      </w:pPr>
      <w:r w:rsidRPr="00C37790">
        <w:rPr>
          <w:rFonts w:ascii="Arial Black" w:hAnsi="Arial Black"/>
          <w:lang w:val="fr-CA"/>
        </w:rPr>
        <w:t>Recomm</w:t>
      </w:r>
      <w:r w:rsidR="00E34A20">
        <w:rPr>
          <w:rFonts w:ascii="Arial Black" w:hAnsi="Arial Black"/>
          <w:lang w:val="fr-CA"/>
        </w:rPr>
        <w:t>a</w:t>
      </w:r>
      <w:r w:rsidRPr="00C37790">
        <w:rPr>
          <w:rFonts w:ascii="Arial Black" w:hAnsi="Arial Black"/>
          <w:lang w:val="fr-CA"/>
        </w:rPr>
        <w:t>ndations</w:t>
      </w:r>
    </w:p>
    <w:p w14:paraId="182CAFCB" w14:textId="18569BA6" w:rsidR="00B62C82" w:rsidRPr="00C37790" w:rsidRDefault="00E34A20" w:rsidP="007B7EA8">
      <w:pPr>
        <w:pStyle w:val="ListParagraph"/>
        <w:numPr>
          <w:ilvl w:val="0"/>
          <w:numId w:val="4"/>
        </w:numPr>
        <w:rPr>
          <w:rFonts w:ascii="Arial" w:hAnsi="Arial" w:cs="Arial"/>
          <w:szCs w:val="24"/>
          <w:lang w:val="fr-CA"/>
        </w:rPr>
      </w:pPr>
      <w:r w:rsidRPr="00E34A20">
        <w:rPr>
          <w:rFonts w:ascii="Arial" w:hAnsi="Arial" w:cs="Arial"/>
          <w:szCs w:val="24"/>
          <w:lang w:val="fr-CA"/>
        </w:rPr>
        <w:t>Inclure les personnes souffrant de différents niveaux de perte de vision dans les recherches futures concernant l'utilisation des</w:t>
      </w:r>
      <w:r>
        <w:rPr>
          <w:rFonts w:ascii="Arial" w:hAnsi="Arial" w:cs="Arial"/>
          <w:szCs w:val="24"/>
          <w:lang w:val="fr-CA"/>
        </w:rPr>
        <w:t xml:space="preserve"> systèmes</w:t>
      </w:r>
      <w:r w:rsidR="00B62C82" w:rsidRPr="00C37790">
        <w:rPr>
          <w:rFonts w:ascii="Arial" w:hAnsi="Arial" w:cs="Arial"/>
          <w:szCs w:val="24"/>
          <w:lang w:val="fr-CA"/>
        </w:rPr>
        <w:t xml:space="preserve"> </w:t>
      </w:r>
      <w:r w:rsidR="00A64C89">
        <w:rPr>
          <w:rFonts w:ascii="Arial" w:hAnsi="Arial" w:cs="Arial"/>
          <w:szCs w:val="24"/>
          <w:lang w:val="fr-CA"/>
        </w:rPr>
        <w:t>HBF</w:t>
      </w:r>
      <w:r>
        <w:rPr>
          <w:rFonts w:ascii="Arial" w:hAnsi="Arial" w:cs="Arial"/>
          <w:szCs w:val="24"/>
          <w:lang w:val="fr-CA"/>
        </w:rPr>
        <w:t>.</w:t>
      </w:r>
      <w:r w:rsidR="00B62C82" w:rsidRPr="00C37790">
        <w:rPr>
          <w:rFonts w:ascii="Arial" w:hAnsi="Arial" w:cs="Arial"/>
          <w:szCs w:val="24"/>
          <w:lang w:val="fr-CA"/>
        </w:rPr>
        <w:t xml:space="preserve"> </w:t>
      </w:r>
    </w:p>
    <w:p w14:paraId="56689F68" w14:textId="0F8A8CEB" w:rsidR="00860A11" w:rsidRPr="00C37790" w:rsidRDefault="00E34A20" w:rsidP="007B7EA8">
      <w:pPr>
        <w:pStyle w:val="ListParagraph"/>
        <w:numPr>
          <w:ilvl w:val="0"/>
          <w:numId w:val="4"/>
        </w:numPr>
        <w:rPr>
          <w:rFonts w:ascii="Arial" w:hAnsi="Arial" w:cs="Arial"/>
          <w:szCs w:val="24"/>
          <w:lang w:val="fr-CA"/>
        </w:rPr>
      </w:pPr>
      <w:r>
        <w:rPr>
          <w:rFonts w:ascii="Arial" w:hAnsi="Arial" w:cs="Arial"/>
          <w:szCs w:val="24"/>
          <w:lang w:val="fr-CA"/>
        </w:rPr>
        <w:t>Concevoir des systèmes</w:t>
      </w:r>
      <w:r w:rsidR="00B62C82" w:rsidRPr="00C37790">
        <w:rPr>
          <w:rFonts w:ascii="Arial" w:hAnsi="Arial" w:cs="Arial"/>
          <w:szCs w:val="24"/>
          <w:lang w:val="fr-CA"/>
        </w:rPr>
        <w:t xml:space="preserve"> </w:t>
      </w:r>
      <w:r w:rsidR="00A64C89">
        <w:rPr>
          <w:rFonts w:ascii="Arial" w:hAnsi="Arial" w:cs="Arial"/>
          <w:szCs w:val="24"/>
          <w:lang w:val="fr-CA"/>
        </w:rPr>
        <w:t>HBF</w:t>
      </w:r>
      <w:r>
        <w:rPr>
          <w:rFonts w:ascii="Arial" w:hAnsi="Arial" w:cs="Arial"/>
          <w:szCs w:val="24"/>
          <w:lang w:val="fr-CA"/>
        </w:rPr>
        <w:t xml:space="preserve"> </w:t>
      </w:r>
      <w:r w:rsidRPr="00E34A20">
        <w:rPr>
          <w:rFonts w:ascii="Arial" w:hAnsi="Arial" w:cs="Arial"/>
          <w:szCs w:val="24"/>
          <w:lang w:val="fr-CA"/>
        </w:rPr>
        <w:t xml:space="preserve">en tenant compte de l'accessibilité totale et des pratiques de conception universelle. </w:t>
      </w:r>
      <w:r w:rsidR="00B62C82" w:rsidRPr="00C37790">
        <w:rPr>
          <w:rFonts w:ascii="Arial" w:hAnsi="Arial" w:cs="Arial"/>
          <w:szCs w:val="24"/>
          <w:lang w:val="fr-CA"/>
        </w:rPr>
        <w:t xml:space="preserve"> </w:t>
      </w:r>
    </w:p>
    <w:p w14:paraId="0560B659" w14:textId="22D1CA1E" w:rsidR="00B62C82" w:rsidRPr="00C37790" w:rsidRDefault="00E34A20" w:rsidP="007B7EA8">
      <w:pPr>
        <w:pStyle w:val="ListParagraph"/>
        <w:numPr>
          <w:ilvl w:val="0"/>
          <w:numId w:val="4"/>
        </w:numPr>
        <w:rPr>
          <w:rFonts w:ascii="Arial" w:hAnsi="Arial" w:cs="Arial"/>
          <w:szCs w:val="24"/>
          <w:lang w:val="fr-CA"/>
        </w:rPr>
      </w:pPr>
      <w:r w:rsidRPr="00E34A20">
        <w:rPr>
          <w:rFonts w:ascii="Arial" w:hAnsi="Arial" w:cs="Arial"/>
          <w:szCs w:val="24"/>
          <w:lang w:val="fr-CA"/>
        </w:rPr>
        <w:t>Les organismes canadiens de réglementation des soins de santé devraient exiger que la conception accessible soit une condition de l'approbation des systèmes</w:t>
      </w:r>
      <w:r w:rsidR="00B62C82" w:rsidRPr="00C37790">
        <w:rPr>
          <w:rFonts w:ascii="Arial" w:hAnsi="Arial" w:cs="Arial"/>
          <w:szCs w:val="24"/>
          <w:lang w:val="fr-CA"/>
        </w:rPr>
        <w:t xml:space="preserve"> </w:t>
      </w:r>
      <w:r w:rsidR="00A64C89">
        <w:rPr>
          <w:rFonts w:ascii="Arial" w:hAnsi="Arial" w:cs="Arial"/>
          <w:szCs w:val="24"/>
          <w:lang w:val="fr-CA"/>
        </w:rPr>
        <w:t>HBF</w:t>
      </w:r>
      <w:r>
        <w:rPr>
          <w:rFonts w:ascii="Arial" w:hAnsi="Arial" w:cs="Arial"/>
          <w:szCs w:val="24"/>
          <w:lang w:val="fr-CA"/>
        </w:rPr>
        <w:t xml:space="preserve"> </w:t>
      </w:r>
      <w:r w:rsidRPr="00E34A20">
        <w:rPr>
          <w:rFonts w:ascii="Arial" w:hAnsi="Arial" w:cs="Arial"/>
          <w:szCs w:val="24"/>
          <w:lang w:val="fr-CA"/>
        </w:rPr>
        <w:t>pour le marché canadien.</w:t>
      </w:r>
      <w:r w:rsidR="004A3B03" w:rsidRPr="00C37790">
        <w:rPr>
          <w:rFonts w:ascii="Arial" w:hAnsi="Arial" w:cs="Arial"/>
          <w:szCs w:val="24"/>
          <w:lang w:val="fr-CA"/>
        </w:rPr>
        <w:t xml:space="preserve"> </w:t>
      </w:r>
      <w:r w:rsidR="00764838" w:rsidRPr="00764838">
        <w:rPr>
          <w:rFonts w:ascii="Arial" w:hAnsi="Arial" w:cs="Arial"/>
          <w:szCs w:val="24"/>
          <w:lang w:val="fr-CA"/>
        </w:rPr>
        <w:t>Sinon, nous recréons d'anciens obstacles à l'accès aux traitements par le biais des nouvelles technologies.</w:t>
      </w:r>
    </w:p>
    <w:p w14:paraId="67DCA5FD" w14:textId="4706A02D" w:rsidR="000E3351" w:rsidRPr="00C37790" w:rsidRDefault="00764838" w:rsidP="007B7EA8">
      <w:pPr>
        <w:pStyle w:val="ListParagraph"/>
        <w:numPr>
          <w:ilvl w:val="0"/>
          <w:numId w:val="4"/>
        </w:numPr>
        <w:rPr>
          <w:rFonts w:ascii="Arial" w:hAnsi="Arial" w:cs="Arial"/>
          <w:szCs w:val="24"/>
          <w:lang w:val="fr-CA"/>
        </w:rPr>
      </w:pPr>
      <w:r w:rsidRPr="00764838">
        <w:rPr>
          <w:rFonts w:ascii="Arial" w:hAnsi="Arial" w:cs="Arial"/>
          <w:szCs w:val="24"/>
          <w:lang w:val="fr-CA"/>
        </w:rPr>
        <w:lastRenderedPageBreak/>
        <w:t>La perte de vision à elle seule ne doit pas être une condition pour considérer une personne comme un candidat inapproprié à l'utilisation d'un système</w:t>
      </w:r>
      <w:r>
        <w:rPr>
          <w:rFonts w:ascii="Arial" w:hAnsi="Arial" w:cs="Arial"/>
          <w:szCs w:val="24"/>
          <w:lang w:val="fr-CA"/>
        </w:rPr>
        <w:t xml:space="preserve"> </w:t>
      </w:r>
      <w:r w:rsidR="00A64C89">
        <w:rPr>
          <w:rFonts w:ascii="Arial" w:hAnsi="Arial" w:cs="Arial"/>
          <w:szCs w:val="24"/>
          <w:lang w:val="fr-CA"/>
        </w:rPr>
        <w:t>HBF</w:t>
      </w:r>
      <w:r w:rsidR="00B62C82" w:rsidRPr="00C37790">
        <w:rPr>
          <w:rFonts w:ascii="Arial" w:hAnsi="Arial" w:cs="Arial"/>
          <w:szCs w:val="24"/>
          <w:lang w:val="fr-CA"/>
        </w:rPr>
        <w:t xml:space="preserve">. </w:t>
      </w:r>
      <w:r w:rsidRPr="00764838">
        <w:rPr>
          <w:rFonts w:ascii="Arial" w:hAnsi="Arial" w:cs="Arial"/>
          <w:szCs w:val="24"/>
          <w:lang w:val="fr-CA"/>
        </w:rPr>
        <w:t xml:space="preserve">Les professionnels de la santé et les fabricants devraient plutôt tenir compte d'une série de facteurs afin de déterminer si une personne est apte à adopter un système HBF. </w:t>
      </w:r>
    </w:p>
    <w:p w14:paraId="26E0E402" w14:textId="5E20DAE1" w:rsidR="00D41A7A" w:rsidRPr="00C37790" w:rsidRDefault="00764838" w:rsidP="007B7EA8">
      <w:pPr>
        <w:pStyle w:val="ListParagraph"/>
        <w:numPr>
          <w:ilvl w:val="0"/>
          <w:numId w:val="4"/>
        </w:numPr>
        <w:rPr>
          <w:rFonts w:ascii="Arial" w:hAnsi="Arial" w:cs="Arial"/>
          <w:szCs w:val="24"/>
          <w:lang w:val="fr-CA"/>
        </w:rPr>
      </w:pPr>
      <w:r w:rsidRPr="00764838">
        <w:rPr>
          <w:rFonts w:ascii="Arial" w:hAnsi="Arial" w:cs="Arial"/>
          <w:szCs w:val="24"/>
          <w:lang w:val="fr-CA"/>
        </w:rPr>
        <w:t>Nous soutenons tous les efforts qui réclament un financement et un accès égaux aux traitements dans tout le Canada. Le coût ou l'endroit où une personne décide de vivre ne devrait pas être un obstacle à l'accès au traitement le plus efficace.</w:t>
      </w:r>
      <w:r w:rsidR="00860A11" w:rsidRPr="00C37790">
        <w:rPr>
          <w:rFonts w:ascii="Arial" w:hAnsi="Arial" w:cs="Arial"/>
          <w:szCs w:val="24"/>
          <w:lang w:val="fr-CA"/>
        </w:rPr>
        <w:t xml:space="preserve"> </w:t>
      </w:r>
      <w:r w:rsidR="004F5AA3">
        <w:rPr>
          <w:rFonts w:ascii="Arial" w:hAnsi="Arial" w:cs="Arial"/>
          <w:szCs w:val="24"/>
          <w:lang w:val="fr-CA"/>
        </w:rPr>
        <w:t xml:space="preserve">Selon </w:t>
      </w:r>
      <w:r w:rsidR="004F5AA3" w:rsidRPr="004F5AA3">
        <w:rPr>
          <w:rFonts w:ascii="Arial" w:hAnsi="Arial" w:cs="Arial"/>
          <w:szCs w:val="24"/>
          <w:lang w:val="fr-CA"/>
        </w:rPr>
        <w:t>Enquête canadienne sur l'incapacité, 2017</w:t>
      </w:r>
      <w:r w:rsidR="004F5AA3">
        <w:rPr>
          <w:rFonts w:ascii="Arial" w:hAnsi="Arial" w:cs="Arial"/>
          <w:szCs w:val="24"/>
          <w:lang w:val="fr-CA"/>
        </w:rPr>
        <w:t xml:space="preserve"> de </w:t>
      </w:r>
      <w:r w:rsidR="001176B6" w:rsidRPr="00C37790">
        <w:rPr>
          <w:rFonts w:ascii="Arial" w:eastAsia="Times New Roman" w:hAnsi="Arial" w:cs="Arial"/>
          <w:szCs w:val="24"/>
          <w:lang w:val="fr-CA" w:eastAsia="en-CA"/>
        </w:rPr>
        <w:t>Statisti</w:t>
      </w:r>
      <w:r w:rsidR="004F5AA3">
        <w:rPr>
          <w:rFonts w:ascii="Arial" w:eastAsia="Times New Roman" w:hAnsi="Arial" w:cs="Arial"/>
          <w:szCs w:val="24"/>
          <w:lang w:val="fr-CA" w:eastAsia="en-CA"/>
        </w:rPr>
        <w:t xml:space="preserve">que </w:t>
      </w:r>
      <w:r w:rsidR="001176B6" w:rsidRPr="00C37790">
        <w:rPr>
          <w:rFonts w:ascii="Arial" w:eastAsia="Times New Roman" w:hAnsi="Arial" w:cs="Arial"/>
          <w:szCs w:val="24"/>
          <w:lang w:val="fr-CA" w:eastAsia="en-CA"/>
        </w:rPr>
        <w:t xml:space="preserve">Canada, 22 </w:t>
      </w:r>
      <w:r w:rsidR="004F5AA3">
        <w:rPr>
          <w:rFonts w:ascii="Arial" w:eastAsia="Times New Roman" w:hAnsi="Arial" w:cs="Arial"/>
          <w:szCs w:val="24"/>
          <w:lang w:val="fr-CA" w:eastAsia="en-CA"/>
        </w:rPr>
        <w:t>%</w:t>
      </w:r>
      <w:r w:rsidR="001176B6" w:rsidRPr="00C37790">
        <w:rPr>
          <w:rFonts w:ascii="Arial" w:eastAsia="Times New Roman" w:hAnsi="Arial" w:cs="Arial"/>
          <w:szCs w:val="24"/>
          <w:lang w:val="fr-CA" w:eastAsia="en-CA"/>
        </w:rPr>
        <w:t xml:space="preserve"> </w:t>
      </w:r>
      <w:r w:rsidR="004F5AA3" w:rsidRPr="004F5AA3">
        <w:rPr>
          <w:rFonts w:ascii="Arial" w:eastAsia="Times New Roman" w:hAnsi="Arial" w:cs="Arial"/>
          <w:szCs w:val="24"/>
          <w:lang w:val="fr-CA" w:eastAsia="en-CA"/>
        </w:rPr>
        <w:t xml:space="preserve">des Canadiens vivant avec une perte de vision grave ou très grave ont un faible revenu selon la </w:t>
      </w:r>
      <w:r w:rsidR="004F5AA3">
        <w:rPr>
          <w:rFonts w:ascii="Arial" w:eastAsia="Times New Roman" w:hAnsi="Arial" w:cs="Arial"/>
          <w:szCs w:val="24"/>
          <w:lang w:val="fr-CA" w:eastAsia="en-CA"/>
        </w:rPr>
        <w:t>M</w:t>
      </w:r>
      <w:r w:rsidR="004F5AA3" w:rsidRPr="004F5AA3">
        <w:rPr>
          <w:rFonts w:ascii="Arial" w:eastAsia="Times New Roman" w:hAnsi="Arial" w:cs="Arial"/>
          <w:szCs w:val="24"/>
          <w:lang w:val="fr-CA" w:eastAsia="en-CA"/>
        </w:rPr>
        <w:t>esure du panier de consommation (MPC), contre 8,7 % pour la population générale. L'accès au financement des appareils fera partie intégrante des populations vulnérables vivant dans la pauvreté et souffrant de diabète.</w:t>
      </w:r>
      <w:r w:rsidR="00317384" w:rsidRPr="00C37790">
        <w:rPr>
          <w:rFonts w:ascii="Arial" w:hAnsi="Arial" w:cs="Arial"/>
          <w:szCs w:val="24"/>
          <w:lang w:val="fr-CA"/>
        </w:rPr>
        <w:t xml:space="preserve"> </w:t>
      </w:r>
    </w:p>
    <w:p w14:paraId="04EE147F" w14:textId="7BB693C6" w:rsidR="008F5222" w:rsidRPr="00C37790" w:rsidRDefault="004F5AA3" w:rsidP="00041F18">
      <w:pPr>
        <w:pStyle w:val="ListParagraph"/>
        <w:numPr>
          <w:ilvl w:val="0"/>
          <w:numId w:val="4"/>
        </w:numPr>
        <w:rPr>
          <w:rFonts w:ascii="Arial" w:hAnsi="Arial" w:cs="Arial"/>
          <w:szCs w:val="24"/>
          <w:lang w:val="fr-CA"/>
        </w:rPr>
      </w:pPr>
      <w:r w:rsidRPr="004F5AA3">
        <w:rPr>
          <w:rFonts w:ascii="Arial" w:hAnsi="Arial" w:cs="Arial"/>
          <w:szCs w:val="24"/>
          <w:lang w:val="fr-CA"/>
        </w:rPr>
        <w:t xml:space="preserve">Nous appuyons la conclusion de l'ACMTS selon laquelle </w:t>
      </w:r>
      <w:r>
        <w:rPr>
          <w:rFonts w:ascii="Arial" w:hAnsi="Arial" w:cs="Arial"/>
          <w:szCs w:val="24"/>
          <w:lang w:val="fr-CA"/>
        </w:rPr>
        <w:t>« </w:t>
      </w:r>
      <w:r w:rsidRPr="004F5AA3">
        <w:rPr>
          <w:rFonts w:ascii="Arial" w:hAnsi="Arial" w:cs="Arial"/>
          <w:szCs w:val="24"/>
          <w:lang w:val="fr-CA"/>
        </w:rPr>
        <w:t>à mesure que les</w:t>
      </w:r>
      <w:r>
        <w:rPr>
          <w:rFonts w:ascii="Arial" w:hAnsi="Arial" w:cs="Arial"/>
          <w:szCs w:val="24"/>
          <w:lang w:val="fr-CA"/>
        </w:rPr>
        <w:t xml:space="preserve"> systèmes HBF</w:t>
      </w:r>
      <w:r w:rsidRPr="004F5AA3">
        <w:rPr>
          <w:rFonts w:ascii="Arial" w:hAnsi="Arial" w:cs="Arial"/>
          <w:szCs w:val="24"/>
          <w:lang w:val="fr-CA"/>
        </w:rPr>
        <w:t>L et la technologie connexe évoluent, il faut accorder plus d'attention à l'interface utilisateur-appareil. Il s'agit notamment d'avoir des rapports conviviaux et compréhensibles, de permettre la personnalisation de l'utilisateur lorsqu'il est sécuritaire et approprié de le faire, et de rendre les appareils utilisables et accessibles aux personnes ayant une déficience visuelle ou auditive.</w:t>
      </w:r>
      <w:r>
        <w:rPr>
          <w:rFonts w:ascii="Arial" w:hAnsi="Arial" w:cs="Arial"/>
          <w:szCs w:val="24"/>
          <w:lang w:val="fr-CA"/>
        </w:rPr>
        <w:t> »</w:t>
      </w:r>
      <w:r w:rsidRPr="004F5AA3">
        <w:rPr>
          <w:rFonts w:ascii="Arial" w:hAnsi="Arial" w:cs="Arial"/>
          <w:szCs w:val="24"/>
          <w:lang w:val="fr-CA"/>
        </w:rPr>
        <w:t xml:space="preserve"> (3585-88). </w:t>
      </w:r>
    </w:p>
    <w:p w14:paraId="77B0BA20" w14:textId="1C63BE70" w:rsidR="00853A9C" w:rsidRPr="00C37790" w:rsidRDefault="002F13F0" w:rsidP="00186D36">
      <w:pPr>
        <w:pStyle w:val="Heading3"/>
        <w:rPr>
          <w:rFonts w:ascii="Arial Black" w:hAnsi="Arial Black"/>
          <w:bCs/>
          <w:lang w:val="fr-CA"/>
        </w:rPr>
      </w:pPr>
      <w:r w:rsidRPr="002F13F0">
        <w:rPr>
          <w:rFonts w:ascii="Arial Black" w:hAnsi="Arial Black"/>
          <w:lang w:val="fr-CA"/>
        </w:rPr>
        <w:t xml:space="preserve">Documents de référence </w:t>
      </w:r>
      <w:r w:rsidR="00D41A7A" w:rsidRPr="00C37790">
        <w:rPr>
          <w:rFonts w:ascii="Arial Black" w:hAnsi="Arial Black"/>
          <w:lang w:val="fr-CA"/>
        </w:rPr>
        <w:t xml:space="preserve"> </w:t>
      </w:r>
      <w:r w:rsidR="0010785E" w:rsidRPr="00C37790">
        <w:rPr>
          <w:rFonts w:ascii="Arial Black" w:hAnsi="Arial Black"/>
          <w:lang w:val="fr-CA"/>
        </w:rPr>
        <w:t xml:space="preserve"> </w:t>
      </w:r>
    </w:p>
    <w:p w14:paraId="57B5DAA0" w14:textId="064C4C4D" w:rsidR="0055077C" w:rsidRPr="00C37790" w:rsidRDefault="00853A9C" w:rsidP="007B7EA8">
      <w:pPr>
        <w:spacing w:line="276" w:lineRule="auto"/>
        <w:rPr>
          <w:rFonts w:ascii="Arial" w:hAnsi="Arial" w:cs="Arial"/>
          <w:sz w:val="24"/>
          <w:szCs w:val="24"/>
          <w:lang w:val="fr-CA"/>
        </w:rPr>
      </w:pPr>
      <w:r w:rsidRPr="00C37790">
        <w:rPr>
          <w:rFonts w:ascii="Arial" w:hAnsi="Arial" w:cs="Arial"/>
          <w:sz w:val="24"/>
          <w:szCs w:val="24"/>
          <w:lang w:val="fr-CA"/>
        </w:rPr>
        <w:t xml:space="preserve">Burton, Darren M. et </w:t>
      </w:r>
      <w:r w:rsidR="002F13F0">
        <w:rPr>
          <w:rFonts w:ascii="Arial" w:hAnsi="Arial" w:cs="Arial"/>
          <w:sz w:val="24"/>
          <w:szCs w:val="24"/>
          <w:lang w:val="fr-CA"/>
        </w:rPr>
        <w:t>col</w:t>
      </w:r>
      <w:r w:rsidRPr="00C37790">
        <w:rPr>
          <w:rFonts w:ascii="Arial" w:hAnsi="Arial" w:cs="Arial"/>
          <w:sz w:val="24"/>
          <w:szCs w:val="24"/>
          <w:lang w:val="fr-CA"/>
        </w:rPr>
        <w:t xml:space="preserve">. (2004) </w:t>
      </w:r>
      <w:r w:rsidR="002F13F0">
        <w:rPr>
          <w:rFonts w:ascii="Arial" w:hAnsi="Arial" w:cs="Arial"/>
          <w:sz w:val="24"/>
          <w:szCs w:val="24"/>
          <w:lang w:val="fr-CA"/>
        </w:rPr>
        <w:t>« </w:t>
      </w:r>
      <w:r w:rsidRPr="00C37790">
        <w:rPr>
          <w:rFonts w:ascii="Arial" w:hAnsi="Arial" w:cs="Arial"/>
          <w:sz w:val="24"/>
          <w:szCs w:val="24"/>
          <w:lang w:val="fr-CA"/>
        </w:rPr>
        <w:t>Diabetes and Visual Impairment: Are Insulin Pumps Accessible?</w:t>
      </w:r>
      <w:r w:rsidR="002F13F0">
        <w:rPr>
          <w:rFonts w:ascii="Arial" w:hAnsi="Arial" w:cs="Arial"/>
          <w:sz w:val="24"/>
          <w:szCs w:val="24"/>
          <w:lang w:val="fr-CA"/>
        </w:rPr>
        <w:t> »</w:t>
      </w:r>
      <w:r w:rsidRPr="00C37790">
        <w:rPr>
          <w:rFonts w:ascii="Arial" w:hAnsi="Arial" w:cs="Arial"/>
          <w:sz w:val="24"/>
          <w:szCs w:val="24"/>
          <w:lang w:val="fr-CA"/>
        </w:rPr>
        <w:t xml:space="preserve"> </w:t>
      </w:r>
      <w:hyperlink r:id="rId11" w:anchor=":~:text=Insulin%20pumps%20are%20relatively%20inaccessible,insulin%20delivery%20can%20be%20lethal" w:history="1">
        <w:r w:rsidRPr="00C37790">
          <w:rPr>
            <w:rStyle w:val="Hyperlink"/>
            <w:rFonts w:ascii="Arial" w:hAnsi="Arial" w:cs="Arial"/>
            <w:sz w:val="24"/>
            <w:szCs w:val="24"/>
            <w:lang w:val="fr-CA"/>
          </w:rPr>
          <w:t>https://www.afb.org/aw/5/2/14770#:~:text=Insulin%20pumps%20are%20relatively%20inaccessible,insulin%20delivery%20can%20be%20lethal</w:t>
        </w:r>
      </w:hyperlink>
      <w:r w:rsidR="003642E7" w:rsidRPr="00C37790">
        <w:rPr>
          <w:rFonts w:ascii="Arial" w:hAnsi="Arial" w:cs="Arial"/>
          <w:sz w:val="24"/>
          <w:szCs w:val="24"/>
          <w:lang w:val="fr-CA"/>
        </w:rPr>
        <w:t xml:space="preserve">. </w:t>
      </w:r>
    </w:p>
    <w:p w14:paraId="1A001062" w14:textId="057FEC08" w:rsidR="003642E7" w:rsidRPr="00C37790" w:rsidRDefault="003642E7" w:rsidP="007B7EA8">
      <w:pPr>
        <w:pStyle w:val="FootnoteText"/>
        <w:spacing w:line="276" w:lineRule="auto"/>
        <w:rPr>
          <w:rFonts w:ascii="Arial" w:hAnsi="Arial" w:cs="Arial"/>
          <w:sz w:val="24"/>
          <w:szCs w:val="24"/>
          <w:lang w:val="fr-CA"/>
        </w:rPr>
      </w:pPr>
      <w:r w:rsidRPr="00C37790">
        <w:rPr>
          <w:rFonts w:ascii="Arial" w:hAnsi="Arial" w:cs="Arial"/>
          <w:sz w:val="24"/>
          <w:szCs w:val="24"/>
          <w:lang w:val="fr-CA"/>
        </w:rPr>
        <w:t xml:space="preserve">Burton, Darren M. et </w:t>
      </w:r>
      <w:r w:rsidR="002F13F0">
        <w:rPr>
          <w:rFonts w:ascii="Arial" w:hAnsi="Arial" w:cs="Arial"/>
          <w:sz w:val="24"/>
          <w:szCs w:val="24"/>
          <w:lang w:val="fr-CA"/>
        </w:rPr>
        <w:t>col.</w:t>
      </w:r>
      <w:r w:rsidRPr="00C37790">
        <w:rPr>
          <w:rFonts w:ascii="Arial" w:hAnsi="Arial" w:cs="Arial"/>
          <w:sz w:val="24"/>
          <w:szCs w:val="24"/>
          <w:lang w:val="fr-CA"/>
        </w:rPr>
        <w:t xml:space="preserve"> (2009) </w:t>
      </w:r>
      <w:r w:rsidR="002F13F0">
        <w:rPr>
          <w:rFonts w:ascii="Arial" w:hAnsi="Arial" w:cs="Arial"/>
          <w:sz w:val="24"/>
          <w:szCs w:val="24"/>
          <w:lang w:val="fr-CA"/>
        </w:rPr>
        <w:t>« </w:t>
      </w:r>
      <w:r w:rsidRPr="00C37790">
        <w:rPr>
          <w:rFonts w:ascii="Arial" w:hAnsi="Arial" w:cs="Arial"/>
          <w:sz w:val="24"/>
          <w:szCs w:val="24"/>
          <w:lang w:val="fr-CA"/>
        </w:rPr>
        <w:t>Are Current Insulin Pumps Accessible to Blind and Visually Impaired People?</w:t>
      </w:r>
      <w:r w:rsidR="002F13F0">
        <w:rPr>
          <w:rFonts w:ascii="Arial" w:hAnsi="Arial" w:cs="Arial"/>
          <w:sz w:val="24"/>
          <w:szCs w:val="24"/>
          <w:lang w:val="fr-CA"/>
        </w:rPr>
        <w:t> »</w:t>
      </w:r>
      <w:r w:rsidRPr="00C37790">
        <w:rPr>
          <w:rFonts w:ascii="Arial" w:hAnsi="Arial" w:cs="Arial"/>
          <w:sz w:val="24"/>
          <w:szCs w:val="24"/>
          <w:lang w:val="fr-CA"/>
        </w:rPr>
        <w:t>, J Diab</w:t>
      </w:r>
      <w:r w:rsidR="005B1A6A" w:rsidRPr="00C37790">
        <w:rPr>
          <w:rFonts w:ascii="Arial" w:hAnsi="Arial" w:cs="Arial"/>
          <w:sz w:val="24"/>
          <w:szCs w:val="24"/>
          <w:lang w:val="fr-CA"/>
        </w:rPr>
        <w:t>e</w:t>
      </w:r>
      <w:r w:rsidRPr="00C37790">
        <w:rPr>
          <w:rFonts w:ascii="Arial" w:hAnsi="Arial" w:cs="Arial"/>
          <w:sz w:val="24"/>
          <w:szCs w:val="24"/>
          <w:lang w:val="fr-CA"/>
        </w:rPr>
        <w:t>tes Sci Technol. 3(3):613-618</w:t>
      </w:r>
    </w:p>
    <w:p w14:paraId="4AF3955E" w14:textId="2D2E7563" w:rsidR="003642E7" w:rsidRPr="00C37790" w:rsidRDefault="00C95C6B" w:rsidP="007B7EA8">
      <w:pPr>
        <w:spacing w:line="276" w:lineRule="auto"/>
        <w:rPr>
          <w:rFonts w:ascii="Arial" w:hAnsi="Arial" w:cs="Arial"/>
          <w:sz w:val="24"/>
          <w:szCs w:val="24"/>
          <w:lang w:val="fr-CA"/>
        </w:rPr>
      </w:pPr>
      <w:hyperlink r:id="rId12">
        <w:r w:rsidR="003642E7" w:rsidRPr="00C37790">
          <w:rPr>
            <w:rStyle w:val="Hyperlink"/>
            <w:rFonts w:ascii="Arial" w:hAnsi="Arial" w:cs="Arial"/>
            <w:sz w:val="24"/>
            <w:szCs w:val="24"/>
            <w:lang w:val="fr-CA"/>
          </w:rPr>
          <w:t>https://www.ncbi.nlm.nih.gov/pmc/articles/PMC2769864/</w:t>
        </w:r>
      </w:hyperlink>
      <w:r w:rsidR="003642E7" w:rsidRPr="00C37790">
        <w:rPr>
          <w:rFonts w:ascii="Arial" w:hAnsi="Arial" w:cs="Arial"/>
          <w:sz w:val="24"/>
          <w:szCs w:val="24"/>
          <w:lang w:val="fr-CA"/>
        </w:rPr>
        <w:t xml:space="preserve"> </w:t>
      </w:r>
    </w:p>
    <w:p w14:paraId="6A5A1261" w14:textId="26F24F43" w:rsidR="00D41A7A" w:rsidRPr="00C37790" w:rsidRDefault="00D41A7A" w:rsidP="007B7EA8">
      <w:pPr>
        <w:spacing w:line="276" w:lineRule="auto"/>
        <w:rPr>
          <w:rFonts w:ascii="Arial" w:hAnsi="Arial" w:cs="Arial"/>
          <w:sz w:val="24"/>
          <w:szCs w:val="24"/>
          <w:lang w:val="fr-CA"/>
        </w:rPr>
      </w:pPr>
      <w:r w:rsidRPr="00C37790">
        <w:rPr>
          <w:rFonts w:ascii="Arial" w:hAnsi="Arial" w:cs="Arial"/>
          <w:sz w:val="24"/>
          <w:szCs w:val="24"/>
          <w:shd w:val="clear" w:color="auto" w:fill="FFFFFF"/>
          <w:lang w:val="fr-CA"/>
        </w:rPr>
        <w:t>Uslan MM, Burton DM, Clements CW. Blood glucose meters that are accessible to blind and visually impaired persons. </w:t>
      </w:r>
      <w:r w:rsidRPr="00C37790">
        <w:rPr>
          <w:rFonts w:ascii="Arial" w:hAnsi="Arial" w:cs="Arial"/>
          <w:i/>
          <w:iCs/>
          <w:sz w:val="24"/>
          <w:szCs w:val="24"/>
          <w:shd w:val="clear" w:color="auto" w:fill="FFFFFF"/>
          <w:lang w:val="fr-CA"/>
        </w:rPr>
        <w:t>J Diabetes Sci Technol</w:t>
      </w:r>
      <w:r w:rsidRPr="00C37790">
        <w:rPr>
          <w:rFonts w:ascii="Arial" w:hAnsi="Arial" w:cs="Arial"/>
          <w:sz w:val="24"/>
          <w:szCs w:val="24"/>
          <w:shd w:val="clear" w:color="auto" w:fill="FFFFFF"/>
          <w:lang w:val="fr-CA"/>
        </w:rPr>
        <w:t xml:space="preserve">. 2008;2(2):284-287. </w:t>
      </w:r>
      <w:hyperlink r:id="rId13" w:history="1">
        <w:r w:rsidRPr="00C37790">
          <w:rPr>
            <w:rStyle w:val="Hyperlink"/>
            <w:rFonts w:ascii="Arial" w:hAnsi="Arial" w:cs="Arial"/>
            <w:sz w:val="24"/>
            <w:szCs w:val="24"/>
            <w:shd w:val="clear" w:color="auto" w:fill="FFFFFF"/>
            <w:lang w:val="fr-CA"/>
          </w:rPr>
          <w:t>https://www.ncbi.nlm.nih.gov/pmc/articles/PMC2771496/</w:t>
        </w:r>
      </w:hyperlink>
      <w:r w:rsidRPr="00C37790">
        <w:rPr>
          <w:rFonts w:ascii="Arial" w:hAnsi="Arial" w:cs="Arial"/>
          <w:sz w:val="24"/>
          <w:szCs w:val="24"/>
          <w:shd w:val="clear" w:color="auto" w:fill="FFFFFF"/>
          <w:lang w:val="fr-CA"/>
        </w:rPr>
        <w:t xml:space="preserve"> </w:t>
      </w:r>
    </w:p>
    <w:p w14:paraId="43141102" w14:textId="52B0B13F" w:rsidR="003642E7" w:rsidRPr="00C37790" w:rsidRDefault="003642E7" w:rsidP="007B7EA8">
      <w:pPr>
        <w:spacing w:line="276" w:lineRule="auto"/>
        <w:rPr>
          <w:rFonts w:ascii="Arial" w:hAnsi="Arial" w:cs="Arial"/>
          <w:sz w:val="24"/>
          <w:szCs w:val="24"/>
          <w:lang w:val="fr-CA"/>
        </w:rPr>
      </w:pPr>
      <w:r w:rsidRPr="00C37790">
        <w:rPr>
          <w:rFonts w:ascii="Arial" w:hAnsi="Arial" w:cs="Arial"/>
          <w:sz w:val="24"/>
          <w:szCs w:val="24"/>
          <w:lang w:val="fr-CA"/>
        </w:rPr>
        <w:t>Zieger</w:t>
      </w:r>
      <w:r w:rsidR="0010785E" w:rsidRPr="00C37790">
        <w:rPr>
          <w:rFonts w:ascii="Arial" w:hAnsi="Arial" w:cs="Arial"/>
          <w:sz w:val="24"/>
          <w:szCs w:val="24"/>
          <w:lang w:val="fr-CA"/>
        </w:rPr>
        <w:t>, Ann</w:t>
      </w:r>
      <w:r w:rsidRPr="00C37790">
        <w:rPr>
          <w:rFonts w:ascii="Arial" w:hAnsi="Arial" w:cs="Arial"/>
          <w:sz w:val="24"/>
          <w:szCs w:val="24"/>
          <w:lang w:val="fr-CA"/>
        </w:rPr>
        <w:t xml:space="preserve"> (2015) </w:t>
      </w:r>
      <w:r w:rsidR="002F13F0">
        <w:rPr>
          <w:rFonts w:ascii="Arial" w:hAnsi="Arial" w:cs="Arial"/>
          <w:sz w:val="24"/>
          <w:szCs w:val="24"/>
          <w:lang w:val="fr-CA"/>
        </w:rPr>
        <w:t>« </w:t>
      </w:r>
      <w:r w:rsidRPr="00C37790">
        <w:rPr>
          <w:rFonts w:ascii="Arial" w:hAnsi="Arial" w:cs="Arial"/>
          <w:sz w:val="24"/>
          <w:szCs w:val="24"/>
          <w:lang w:val="fr-CA"/>
        </w:rPr>
        <w:t>College Students desi</w:t>
      </w:r>
      <w:r w:rsidR="00853A9C" w:rsidRPr="00C37790">
        <w:rPr>
          <w:rFonts w:ascii="Arial" w:hAnsi="Arial" w:cs="Arial"/>
          <w:sz w:val="24"/>
          <w:szCs w:val="24"/>
          <w:lang w:val="fr-CA"/>
        </w:rPr>
        <w:t>g</w:t>
      </w:r>
      <w:r w:rsidRPr="00C37790">
        <w:rPr>
          <w:rFonts w:ascii="Arial" w:hAnsi="Arial" w:cs="Arial"/>
          <w:sz w:val="24"/>
          <w:szCs w:val="24"/>
          <w:lang w:val="fr-CA"/>
        </w:rPr>
        <w:t>n talking insulin pumps for visually impaired diabetics</w:t>
      </w:r>
      <w:r w:rsidR="002F13F0">
        <w:rPr>
          <w:rFonts w:ascii="Arial" w:hAnsi="Arial" w:cs="Arial"/>
          <w:sz w:val="24"/>
          <w:szCs w:val="24"/>
          <w:lang w:val="fr-CA"/>
        </w:rPr>
        <w:t> »</w:t>
      </w:r>
      <w:r w:rsidRPr="00C37790">
        <w:rPr>
          <w:rFonts w:ascii="Arial" w:hAnsi="Arial" w:cs="Arial"/>
          <w:sz w:val="24"/>
          <w:szCs w:val="24"/>
          <w:lang w:val="fr-CA"/>
        </w:rPr>
        <w:t xml:space="preserve"> </w:t>
      </w:r>
      <w:hyperlink r:id="rId14">
        <w:r w:rsidRPr="00C37790">
          <w:rPr>
            <w:rStyle w:val="Hyperlink"/>
            <w:rFonts w:ascii="Arial" w:hAnsi="Arial" w:cs="Arial"/>
            <w:sz w:val="24"/>
            <w:szCs w:val="24"/>
            <w:lang w:val="fr-CA"/>
          </w:rPr>
          <w:t>https://innovatemedtec.com/content/college-students-design-talking-insulin-pump-for-visually-impaired-diabetics</w:t>
        </w:r>
      </w:hyperlink>
    </w:p>
    <w:sectPr w:rsidR="003642E7" w:rsidRPr="00C37790">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1198C" w14:textId="77777777" w:rsidR="00C95C6B" w:rsidRDefault="00C95C6B" w:rsidP="004C6B7C">
      <w:pPr>
        <w:spacing w:after="0" w:line="240" w:lineRule="auto"/>
      </w:pPr>
      <w:r>
        <w:separator/>
      </w:r>
    </w:p>
  </w:endnote>
  <w:endnote w:type="continuationSeparator" w:id="0">
    <w:p w14:paraId="48790D77" w14:textId="77777777" w:rsidR="00C95C6B" w:rsidRDefault="00C95C6B" w:rsidP="004C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147603"/>
      <w:docPartObj>
        <w:docPartGallery w:val="Page Numbers (Bottom of Page)"/>
        <w:docPartUnique/>
      </w:docPartObj>
    </w:sdtPr>
    <w:sdtEndPr>
      <w:rPr>
        <w:rFonts w:ascii="Verdana" w:hAnsi="Verdana"/>
        <w:noProof/>
        <w:sz w:val="24"/>
        <w:szCs w:val="24"/>
      </w:rPr>
    </w:sdtEndPr>
    <w:sdtContent>
      <w:p w14:paraId="4EA63987" w14:textId="5CBA6C2E" w:rsidR="002C41D7" w:rsidRPr="00317384" w:rsidRDefault="002C41D7">
        <w:pPr>
          <w:pStyle w:val="Footer"/>
          <w:jc w:val="right"/>
          <w:rPr>
            <w:rFonts w:ascii="Verdana" w:hAnsi="Verdana"/>
            <w:sz w:val="24"/>
            <w:szCs w:val="24"/>
          </w:rPr>
        </w:pPr>
        <w:r w:rsidRPr="00317384">
          <w:rPr>
            <w:rFonts w:ascii="Verdana" w:hAnsi="Verdana"/>
            <w:sz w:val="24"/>
            <w:szCs w:val="24"/>
          </w:rPr>
          <w:fldChar w:fldCharType="begin"/>
        </w:r>
        <w:r w:rsidRPr="00317384">
          <w:rPr>
            <w:rFonts w:ascii="Verdana" w:hAnsi="Verdana"/>
            <w:sz w:val="24"/>
            <w:szCs w:val="24"/>
          </w:rPr>
          <w:instrText xml:space="preserve"> PAGE   \* MERGEFORMAT </w:instrText>
        </w:r>
        <w:r w:rsidRPr="00317384">
          <w:rPr>
            <w:rFonts w:ascii="Verdana" w:hAnsi="Verdana"/>
            <w:sz w:val="24"/>
            <w:szCs w:val="24"/>
          </w:rPr>
          <w:fldChar w:fldCharType="separate"/>
        </w:r>
        <w:r w:rsidRPr="00317384">
          <w:rPr>
            <w:rFonts w:ascii="Verdana" w:hAnsi="Verdana"/>
            <w:noProof/>
            <w:sz w:val="24"/>
            <w:szCs w:val="24"/>
          </w:rPr>
          <w:t>2</w:t>
        </w:r>
        <w:r w:rsidRPr="00317384">
          <w:rPr>
            <w:rFonts w:ascii="Verdana" w:hAnsi="Verdana"/>
            <w:noProof/>
            <w:sz w:val="24"/>
            <w:szCs w:val="24"/>
          </w:rPr>
          <w:fldChar w:fldCharType="end"/>
        </w:r>
      </w:p>
    </w:sdtContent>
  </w:sdt>
  <w:p w14:paraId="77F4257D" w14:textId="55243584" w:rsidR="002C41D7" w:rsidRDefault="002C41D7">
    <w:pPr>
      <w:pStyle w:val="Footer"/>
    </w:pPr>
    <w:r>
      <w:rPr>
        <w:noProof/>
      </w:rPr>
      <w:drawing>
        <wp:inline distT="0" distB="0" distL="0" distR="0" wp14:anchorId="6925E9C2" wp14:editId="16206C89">
          <wp:extent cx="1481308" cy="44264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820" cy="4523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0489F" w14:textId="77777777" w:rsidR="00C95C6B" w:rsidRDefault="00C95C6B" w:rsidP="004C6B7C">
      <w:pPr>
        <w:spacing w:after="0" w:line="240" w:lineRule="auto"/>
      </w:pPr>
      <w:r>
        <w:separator/>
      </w:r>
    </w:p>
  </w:footnote>
  <w:footnote w:type="continuationSeparator" w:id="0">
    <w:p w14:paraId="4F729868" w14:textId="77777777" w:rsidR="00C95C6B" w:rsidRDefault="00C95C6B" w:rsidP="004C6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453BD"/>
    <w:multiLevelType w:val="hybridMultilevel"/>
    <w:tmpl w:val="745EC4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2D7116"/>
    <w:multiLevelType w:val="hybridMultilevel"/>
    <w:tmpl w:val="653E5C32"/>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76A4609"/>
    <w:multiLevelType w:val="hybridMultilevel"/>
    <w:tmpl w:val="F0F2271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9DA32B9"/>
    <w:multiLevelType w:val="hybridMultilevel"/>
    <w:tmpl w:val="1E6EE5E0"/>
    <w:lvl w:ilvl="0" w:tplc="7A40818E">
      <w:start w:val="1"/>
      <w:numFmt w:val="bullet"/>
      <w:lvlText w:val="•"/>
      <w:lvlJc w:val="left"/>
      <w:pPr>
        <w:tabs>
          <w:tab w:val="num" w:pos="720"/>
        </w:tabs>
        <w:ind w:left="720" w:hanging="360"/>
      </w:pPr>
      <w:rPr>
        <w:rFonts w:ascii="Times" w:hAnsi="Times" w:hint="default"/>
      </w:rPr>
    </w:lvl>
    <w:lvl w:ilvl="1" w:tplc="A9048824" w:tentative="1">
      <w:start w:val="1"/>
      <w:numFmt w:val="bullet"/>
      <w:lvlText w:val="•"/>
      <w:lvlJc w:val="left"/>
      <w:pPr>
        <w:tabs>
          <w:tab w:val="num" w:pos="1440"/>
        </w:tabs>
        <w:ind w:left="1440" w:hanging="360"/>
      </w:pPr>
      <w:rPr>
        <w:rFonts w:ascii="Times" w:hAnsi="Times" w:hint="default"/>
      </w:rPr>
    </w:lvl>
    <w:lvl w:ilvl="2" w:tplc="786EADE4" w:tentative="1">
      <w:start w:val="1"/>
      <w:numFmt w:val="bullet"/>
      <w:lvlText w:val="•"/>
      <w:lvlJc w:val="left"/>
      <w:pPr>
        <w:tabs>
          <w:tab w:val="num" w:pos="2160"/>
        </w:tabs>
        <w:ind w:left="2160" w:hanging="360"/>
      </w:pPr>
      <w:rPr>
        <w:rFonts w:ascii="Times" w:hAnsi="Times" w:hint="default"/>
      </w:rPr>
    </w:lvl>
    <w:lvl w:ilvl="3" w:tplc="86FCD68A" w:tentative="1">
      <w:start w:val="1"/>
      <w:numFmt w:val="bullet"/>
      <w:lvlText w:val="•"/>
      <w:lvlJc w:val="left"/>
      <w:pPr>
        <w:tabs>
          <w:tab w:val="num" w:pos="2880"/>
        </w:tabs>
        <w:ind w:left="2880" w:hanging="360"/>
      </w:pPr>
      <w:rPr>
        <w:rFonts w:ascii="Times" w:hAnsi="Times" w:hint="default"/>
      </w:rPr>
    </w:lvl>
    <w:lvl w:ilvl="4" w:tplc="FD9CE9E4" w:tentative="1">
      <w:start w:val="1"/>
      <w:numFmt w:val="bullet"/>
      <w:lvlText w:val="•"/>
      <w:lvlJc w:val="left"/>
      <w:pPr>
        <w:tabs>
          <w:tab w:val="num" w:pos="3600"/>
        </w:tabs>
        <w:ind w:left="3600" w:hanging="360"/>
      </w:pPr>
      <w:rPr>
        <w:rFonts w:ascii="Times" w:hAnsi="Times" w:hint="default"/>
      </w:rPr>
    </w:lvl>
    <w:lvl w:ilvl="5" w:tplc="949237F6" w:tentative="1">
      <w:start w:val="1"/>
      <w:numFmt w:val="bullet"/>
      <w:lvlText w:val="•"/>
      <w:lvlJc w:val="left"/>
      <w:pPr>
        <w:tabs>
          <w:tab w:val="num" w:pos="4320"/>
        </w:tabs>
        <w:ind w:left="4320" w:hanging="360"/>
      </w:pPr>
      <w:rPr>
        <w:rFonts w:ascii="Times" w:hAnsi="Times" w:hint="default"/>
      </w:rPr>
    </w:lvl>
    <w:lvl w:ilvl="6" w:tplc="4C0A85B2" w:tentative="1">
      <w:start w:val="1"/>
      <w:numFmt w:val="bullet"/>
      <w:lvlText w:val="•"/>
      <w:lvlJc w:val="left"/>
      <w:pPr>
        <w:tabs>
          <w:tab w:val="num" w:pos="5040"/>
        </w:tabs>
        <w:ind w:left="5040" w:hanging="360"/>
      </w:pPr>
      <w:rPr>
        <w:rFonts w:ascii="Times" w:hAnsi="Times" w:hint="default"/>
      </w:rPr>
    </w:lvl>
    <w:lvl w:ilvl="7" w:tplc="A6D256E4" w:tentative="1">
      <w:start w:val="1"/>
      <w:numFmt w:val="bullet"/>
      <w:lvlText w:val="•"/>
      <w:lvlJc w:val="left"/>
      <w:pPr>
        <w:tabs>
          <w:tab w:val="num" w:pos="5760"/>
        </w:tabs>
        <w:ind w:left="5760" w:hanging="360"/>
      </w:pPr>
      <w:rPr>
        <w:rFonts w:ascii="Times" w:hAnsi="Times" w:hint="default"/>
      </w:rPr>
    </w:lvl>
    <w:lvl w:ilvl="8" w:tplc="FC70DD9A"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944"/>
    <w:rsid w:val="00003BB2"/>
    <w:rsid w:val="00041F18"/>
    <w:rsid w:val="000571AE"/>
    <w:rsid w:val="0008118A"/>
    <w:rsid w:val="000B2D03"/>
    <w:rsid w:val="000D3EAD"/>
    <w:rsid w:val="000E3351"/>
    <w:rsid w:val="0010785E"/>
    <w:rsid w:val="001176B6"/>
    <w:rsid w:val="001859AF"/>
    <w:rsid w:val="00186D36"/>
    <w:rsid w:val="001A2403"/>
    <w:rsid w:val="001B74DB"/>
    <w:rsid w:val="001E336C"/>
    <w:rsid w:val="001E39C4"/>
    <w:rsid w:val="00206A49"/>
    <w:rsid w:val="00281B2C"/>
    <w:rsid w:val="002866F1"/>
    <w:rsid w:val="002921A5"/>
    <w:rsid w:val="00295A14"/>
    <w:rsid w:val="002A20BC"/>
    <w:rsid w:val="002C41D7"/>
    <w:rsid w:val="002D56E7"/>
    <w:rsid w:val="002E4C59"/>
    <w:rsid w:val="002F13F0"/>
    <w:rsid w:val="00317384"/>
    <w:rsid w:val="003272D7"/>
    <w:rsid w:val="00345037"/>
    <w:rsid w:val="00354A5A"/>
    <w:rsid w:val="003642E7"/>
    <w:rsid w:val="003B3B0D"/>
    <w:rsid w:val="003C174D"/>
    <w:rsid w:val="003C2186"/>
    <w:rsid w:val="003C381B"/>
    <w:rsid w:val="003E393E"/>
    <w:rsid w:val="003F1DD9"/>
    <w:rsid w:val="00421E42"/>
    <w:rsid w:val="004821B6"/>
    <w:rsid w:val="004A2B93"/>
    <w:rsid w:val="004A3B03"/>
    <w:rsid w:val="004C6B7C"/>
    <w:rsid w:val="004C744B"/>
    <w:rsid w:val="004E09ED"/>
    <w:rsid w:val="004F5AA3"/>
    <w:rsid w:val="00513205"/>
    <w:rsid w:val="0055077C"/>
    <w:rsid w:val="00561EC9"/>
    <w:rsid w:val="005732F8"/>
    <w:rsid w:val="00586A54"/>
    <w:rsid w:val="005B1A6A"/>
    <w:rsid w:val="005F040C"/>
    <w:rsid w:val="00695944"/>
    <w:rsid w:val="0071607C"/>
    <w:rsid w:val="00750E62"/>
    <w:rsid w:val="00760024"/>
    <w:rsid w:val="00764838"/>
    <w:rsid w:val="007733CD"/>
    <w:rsid w:val="007B350C"/>
    <w:rsid w:val="007B7EA8"/>
    <w:rsid w:val="007D7926"/>
    <w:rsid w:val="007F1449"/>
    <w:rsid w:val="00824373"/>
    <w:rsid w:val="00853A9C"/>
    <w:rsid w:val="00860A11"/>
    <w:rsid w:val="008B73D8"/>
    <w:rsid w:val="008F5222"/>
    <w:rsid w:val="00980C0E"/>
    <w:rsid w:val="00A021E8"/>
    <w:rsid w:val="00A53215"/>
    <w:rsid w:val="00A64C89"/>
    <w:rsid w:val="00A75921"/>
    <w:rsid w:val="00AC269B"/>
    <w:rsid w:val="00B245BD"/>
    <w:rsid w:val="00B33115"/>
    <w:rsid w:val="00B43D3B"/>
    <w:rsid w:val="00B4471F"/>
    <w:rsid w:val="00B62C82"/>
    <w:rsid w:val="00B6398C"/>
    <w:rsid w:val="00B97499"/>
    <w:rsid w:val="00BB3ECA"/>
    <w:rsid w:val="00BF373F"/>
    <w:rsid w:val="00C36057"/>
    <w:rsid w:val="00C37790"/>
    <w:rsid w:val="00C94A00"/>
    <w:rsid w:val="00C95C6B"/>
    <w:rsid w:val="00CD5CC8"/>
    <w:rsid w:val="00D41A7A"/>
    <w:rsid w:val="00D567E1"/>
    <w:rsid w:val="00DD6F77"/>
    <w:rsid w:val="00DF065C"/>
    <w:rsid w:val="00E34A20"/>
    <w:rsid w:val="00E641D8"/>
    <w:rsid w:val="00E9018A"/>
    <w:rsid w:val="00EE58FE"/>
    <w:rsid w:val="00F15760"/>
    <w:rsid w:val="00F45DC7"/>
    <w:rsid w:val="00F92CAA"/>
    <w:rsid w:val="00FF6C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7FA00"/>
  <w15:chartTrackingRefBased/>
  <w15:docId w15:val="{1FB31BE9-FF13-4856-875B-EE8E4AE2E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56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qFormat/>
    <w:rsid w:val="00B245B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unhideWhenUsed/>
    <w:qFormat/>
    <w:rsid w:val="0010785E"/>
    <w:pPr>
      <w:keepNext/>
      <w:keepLines/>
      <w:spacing w:before="40" w:after="0"/>
      <w:outlineLvl w:val="2"/>
    </w:pPr>
    <w:rPr>
      <w:rFonts w:ascii="Verdana" w:eastAsiaTheme="majorEastAsia" w:hAnsi="Verdan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245BD"/>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unhideWhenUsed/>
    <w:rsid w:val="00B245BD"/>
    <w:rPr>
      <w:color w:val="0000FF"/>
      <w:u w:val="single"/>
    </w:rPr>
  </w:style>
  <w:style w:type="character" w:customStyle="1" w:styleId="Heading1Char">
    <w:name w:val="Heading 1 Char"/>
    <w:basedOn w:val="DefaultParagraphFont"/>
    <w:link w:val="Heading1"/>
    <w:uiPriority w:val="9"/>
    <w:rsid w:val="002D56E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C381B"/>
    <w:pPr>
      <w:spacing w:after="200" w:line="276" w:lineRule="auto"/>
      <w:ind w:left="720"/>
      <w:contextualSpacing/>
    </w:pPr>
    <w:rPr>
      <w:rFonts w:ascii="Verdana" w:hAnsi="Verdana"/>
      <w:sz w:val="24"/>
      <w:lang w:val="en-US"/>
    </w:rPr>
  </w:style>
  <w:style w:type="paragraph" w:styleId="NoSpacing">
    <w:name w:val="No Spacing"/>
    <w:uiPriority w:val="1"/>
    <w:unhideWhenUsed/>
    <w:qFormat/>
    <w:rsid w:val="007B350C"/>
    <w:pPr>
      <w:spacing w:after="0" w:line="240" w:lineRule="auto"/>
    </w:pPr>
    <w:rPr>
      <w:rFonts w:ascii="Verdana" w:eastAsia="Times New Roman" w:hAnsi="Verdana" w:cs="Times New Roman"/>
      <w:sz w:val="24"/>
      <w:szCs w:val="24"/>
    </w:rPr>
  </w:style>
  <w:style w:type="character" w:styleId="UnresolvedMention">
    <w:name w:val="Unresolved Mention"/>
    <w:basedOn w:val="DefaultParagraphFont"/>
    <w:uiPriority w:val="99"/>
    <w:semiHidden/>
    <w:unhideWhenUsed/>
    <w:rsid w:val="003642E7"/>
    <w:rPr>
      <w:color w:val="605E5C"/>
      <w:shd w:val="clear" w:color="auto" w:fill="E1DFDD"/>
    </w:rPr>
  </w:style>
  <w:style w:type="character" w:customStyle="1" w:styleId="FootnoteTextChar">
    <w:name w:val="Footnote Text Char"/>
    <w:basedOn w:val="DefaultParagraphFont"/>
    <w:link w:val="FootnoteText"/>
    <w:uiPriority w:val="99"/>
    <w:semiHidden/>
    <w:rsid w:val="003642E7"/>
    <w:rPr>
      <w:sz w:val="20"/>
      <w:szCs w:val="20"/>
    </w:rPr>
  </w:style>
  <w:style w:type="paragraph" w:styleId="FootnoteText">
    <w:name w:val="footnote text"/>
    <w:basedOn w:val="Normal"/>
    <w:link w:val="FootnoteTextChar"/>
    <w:uiPriority w:val="99"/>
    <w:semiHidden/>
    <w:unhideWhenUsed/>
    <w:rsid w:val="003642E7"/>
    <w:pPr>
      <w:spacing w:after="0" w:line="240" w:lineRule="auto"/>
    </w:pPr>
    <w:rPr>
      <w:sz w:val="20"/>
      <w:szCs w:val="20"/>
    </w:rPr>
  </w:style>
  <w:style w:type="character" w:customStyle="1" w:styleId="FootnoteTextChar1">
    <w:name w:val="Footnote Text Char1"/>
    <w:basedOn w:val="DefaultParagraphFont"/>
    <w:uiPriority w:val="99"/>
    <w:semiHidden/>
    <w:rsid w:val="003642E7"/>
    <w:rPr>
      <w:sz w:val="20"/>
      <w:szCs w:val="20"/>
    </w:rPr>
  </w:style>
  <w:style w:type="character" w:styleId="FootnoteReference">
    <w:name w:val="footnote reference"/>
    <w:basedOn w:val="DefaultParagraphFont"/>
    <w:uiPriority w:val="99"/>
    <w:semiHidden/>
    <w:unhideWhenUsed/>
    <w:rsid w:val="004C6B7C"/>
    <w:rPr>
      <w:vertAlign w:val="superscript"/>
    </w:rPr>
  </w:style>
  <w:style w:type="character" w:customStyle="1" w:styleId="Heading3Char">
    <w:name w:val="Heading 3 Char"/>
    <w:basedOn w:val="DefaultParagraphFont"/>
    <w:link w:val="Heading3"/>
    <w:uiPriority w:val="9"/>
    <w:rsid w:val="0010785E"/>
    <w:rPr>
      <w:rFonts w:ascii="Verdana" w:eastAsiaTheme="majorEastAsia" w:hAnsi="Verdana" w:cstheme="majorBidi"/>
      <w:b/>
      <w:sz w:val="24"/>
      <w:szCs w:val="24"/>
    </w:rPr>
  </w:style>
  <w:style w:type="character" w:styleId="Emphasis">
    <w:name w:val="Emphasis"/>
    <w:basedOn w:val="DefaultParagraphFont"/>
    <w:uiPriority w:val="20"/>
    <w:qFormat/>
    <w:rsid w:val="008B73D8"/>
    <w:rPr>
      <w:i/>
      <w:iCs/>
    </w:rPr>
  </w:style>
  <w:style w:type="paragraph" w:styleId="Header">
    <w:name w:val="header"/>
    <w:basedOn w:val="Normal"/>
    <w:link w:val="HeaderChar"/>
    <w:uiPriority w:val="99"/>
    <w:unhideWhenUsed/>
    <w:rsid w:val="00317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384"/>
  </w:style>
  <w:style w:type="paragraph" w:styleId="Footer">
    <w:name w:val="footer"/>
    <w:basedOn w:val="Normal"/>
    <w:link w:val="FooterChar"/>
    <w:uiPriority w:val="99"/>
    <w:unhideWhenUsed/>
    <w:rsid w:val="00317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384"/>
  </w:style>
  <w:style w:type="paragraph" w:styleId="BalloonText">
    <w:name w:val="Balloon Text"/>
    <w:basedOn w:val="Normal"/>
    <w:link w:val="BalloonTextChar"/>
    <w:uiPriority w:val="99"/>
    <w:semiHidden/>
    <w:unhideWhenUsed/>
    <w:rsid w:val="00081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18A"/>
    <w:rPr>
      <w:rFonts w:ascii="Segoe UI" w:hAnsi="Segoe UI" w:cs="Segoe UI"/>
      <w:sz w:val="18"/>
      <w:szCs w:val="18"/>
    </w:rPr>
  </w:style>
  <w:style w:type="character" w:styleId="FollowedHyperlink">
    <w:name w:val="FollowedHyperlink"/>
    <w:basedOn w:val="DefaultParagraphFont"/>
    <w:uiPriority w:val="99"/>
    <w:semiHidden/>
    <w:unhideWhenUsed/>
    <w:rsid w:val="008F5222"/>
    <w:rPr>
      <w:color w:val="954F72" w:themeColor="followedHyperlink"/>
      <w:u w:val="single"/>
    </w:rPr>
  </w:style>
  <w:style w:type="paragraph" w:customStyle="1" w:styleId="paragraph">
    <w:name w:val="paragraph"/>
    <w:basedOn w:val="Normal"/>
    <w:rsid w:val="00C3779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C37790"/>
  </w:style>
  <w:style w:type="character" w:customStyle="1" w:styleId="eop">
    <w:name w:val="eop"/>
    <w:basedOn w:val="DefaultParagraphFont"/>
    <w:rsid w:val="00C3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13238">
      <w:bodyDiv w:val="1"/>
      <w:marLeft w:val="0"/>
      <w:marRight w:val="0"/>
      <w:marTop w:val="0"/>
      <w:marBottom w:val="0"/>
      <w:divBdr>
        <w:top w:val="none" w:sz="0" w:space="0" w:color="auto"/>
        <w:left w:val="none" w:sz="0" w:space="0" w:color="auto"/>
        <w:bottom w:val="none" w:sz="0" w:space="0" w:color="auto"/>
        <w:right w:val="none" w:sz="0" w:space="0" w:color="auto"/>
      </w:divBdr>
    </w:div>
    <w:div w:id="143351528">
      <w:bodyDiv w:val="1"/>
      <w:marLeft w:val="0"/>
      <w:marRight w:val="0"/>
      <w:marTop w:val="0"/>
      <w:marBottom w:val="0"/>
      <w:divBdr>
        <w:top w:val="none" w:sz="0" w:space="0" w:color="auto"/>
        <w:left w:val="none" w:sz="0" w:space="0" w:color="auto"/>
        <w:bottom w:val="none" w:sz="0" w:space="0" w:color="auto"/>
        <w:right w:val="none" w:sz="0" w:space="0" w:color="auto"/>
      </w:divBdr>
    </w:div>
    <w:div w:id="494810247">
      <w:bodyDiv w:val="1"/>
      <w:marLeft w:val="0"/>
      <w:marRight w:val="0"/>
      <w:marTop w:val="0"/>
      <w:marBottom w:val="0"/>
      <w:divBdr>
        <w:top w:val="none" w:sz="0" w:space="0" w:color="auto"/>
        <w:left w:val="none" w:sz="0" w:space="0" w:color="auto"/>
        <w:bottom w:val="none" w:sz="0" w:space="0" w:color="auto"/>
        <w:right w:val="none" w:sz="0" w:space="0" w:color="auto"/>
      </w:divBdr>
    </w:div>
    <w:div w:id="561989845">
      <w:bodyDiv w:val="1"/>
      <w:marLeft w:val="0"/>
      <w:marRight w:val="0"/>
      <w:marTop w:val="0"/>
      <w:marBottom w:val="0"/>
      <w:divBdr>
        <w:top w:val="none" w:sz="0" w:space="0" w:color="auto"/>
        <w:left w:val="none" w:sz="0" w:space="0" w:color="auto"/>
        <w:bottom w:val="none" w:sz="0" w:space="0" w:color="auto"/>
        <w:right w:val="none" w:sz="0" w:space="0" w:color="auto"/>
      </w:divBdr>
    </w:div>
    <w:div w:id="941111811">
      <w:bodyDiv w:val="1"/>
      <w:marLeft w:val="0"/>
      <w:marRight w:val="0"/>
      <w:marTop w:val="0"/>
      <w:marBottom w:val="0"/>
      <w:divBdr>
        <w:top w:val="none" w:sz="0" w:space="0" w:color="auto"/>
        <w:left w:val="none" w:sz="0" w:space="0" w:color="auto"/>
        <w:bottom w:val="none" w:sz="0" w:space="0" w:color="auto"/>
        <w:right w:val="none" w:sz="0" w:space="0" w:color="auto"/>
      </w:divBdr>
    </w:div>
    <w:div w:id="1083379787">
      <w:bodyDiv w:val="1"/>
      <w:marLeft w:val="0"/>
      <w:marRight w:val="0"/>
      <w:marTop w:val="0"/>
      <w:marBottom w:val="0"/>
      <w:divBdr>
        <w:top w:val="none" w:sz="0" w:space="0" w:color="auto"/>
        <w:left w:val="none" w:sz="0" w:space="0" w:color="auto"/>
        <w:bottom w:val="none" w:sz="0" w:space="0" w:color="auto"/>
        <w:right w:val="none" w:sz="0" w:space="0" w:color="auto"/>
      </w:divBdr>
    </w:div>
    <w:div w:id="1134560537">
      <w:bodyDiv w:val="1"/>
      <w:marLeft w:val="0"/>
      <w:marRight w:val="0"/>
      <w:marTop w:val="0"/>
      <w:marBottom w:val="0"/>
      <w:divBdr>
        <w:top w:val="none" w:sz="0" w:space="0" w:color="auto"/>
        <w:left w:val="none" w:sz="0" w:space="0" w:color="auto"/>
        <w:bottom w:val="none" w:sz="0" w:space="0" w:color="auto"/>
        <w:right w:val="none" w:sz="0" w:space="0" w:color="auto"/>
      </w:divBdr>
    </w:div>
    <w:div w:id="1331759560">
      <w:bodyDiv w:val="1"/>
      <w:marLeft w:val="0"/>
      <w:marRight w:val="0"/>
      <w:marTop w:val="0"/>
      <w:marBottom w:val="0"/>
      <w:divBdr>
        <w:top w:val="none" w:sz="0" w:space="0" w:color="auto"/>
        <w:left w:val="none" w:sz="0" w:space="0" w:color="auto"/>
        <w:bottom w:val="none" w:sz="0" w:space="0" w:color="auto"/>
        <w:right w:val="none" w:sz="0" w:space="0" w:color="auto"/>
      </w:divBdr>
    </w:div>
    <w:div w:id="1999572667">
      <w:bodyDiv w:val="1"/>
      <w:marLeft w:val="0"/>
      <w:marRight w:val="0"/>
      <w:marTop w:val="0"/>
      <w:marBottom w:val="0"/>
      <w:divBdr>
        <w:top w:val="none" w:sz="0" w:space="0" w:color="auto"/>
        <w:left w:val="none" w:sz="0" w:space="0" w:color="auto"/>
        <w:bottom w:val="none" w:sz="0" w:space="0" w:color="auto"/>
        <w:right w:val="none" w:sz="0" w:space="0" w:color="auto"/>
      </w:divBdr>
    </w:div>
    <w:div w:id="214126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bi.nlm.nih.gov/pmc/articles/PMC277149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bi.nlm.nih.gov/pmc/articles/PMC276986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b.org/aw/5/2/1477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novatemedtec.com/content/college-students-design-talking-insulin-pump-for-visually-impaired-diabetic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43E92-557A-4998-9B03-609C656A03D3}">
  <ds:schemaRefs>
    <ds:schemaRef ds:uri="http://schemas.microsoft.com/sharepoint/v3/contenttype/forms"/>
  </ds:schemaRefs>
</ds:datastoreItem>
</file>

<file path=customXml/itemProps2.xml><?xml version="1.0" encoding="utf-8"?>
<ds:datastoreItem xmlns:ds="http://schemas.openxmlformats.org/officeDocument/2006/customXml" ds:itemID="{B5959B78-EE4A-4587-8F99-03C088B1E1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A9D527-B861-4B45-B517-499A959E6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0AF2887-4EF5-4E5C-9F6F-943755211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1950</Words>
  <Characters>11118</Characters>
  <Application>Microsoft Office Word</Application>
  <DocSecurity>0</DocSecurity>
  <Lines>92</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Hamilton</dc:creator>
  <cp:keywords/>
  <dc:description/>
  <cp:lastModifiedBy>Karin McArthur</cp:lastModifiedBy>
  <cp:revision>2</cp:revision>
  <dcterms:created xsi:type="dcterms:W3CDTF">2021-04-27T17:43:00Z</dcterms:created>
  <dcterms:modified xsi:type="dcterms:W3CDTF">2021-04-27T17:43:00Z</dcterms:modified>
</cp:coreProperties>
</file>